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0163" w14:textId="77777777" w:rsidR="002C6F56" w:rsidRPr="002B09D4" w:rsidRDefault="002C6F56" w:rsidP="007C2C90">
      <w:pPr>
        <w:ind w:right="22"/>
        <w:jc w:val="both"/>
        <w:rPr>
          <w:rFonts w:ascii="Calibri" w:hAnsi="Calibri" w:cs="Arial"/>
          <w:sz w:val="24"/>
          <w:szCs w:val="24"/>
        </w:rPr>
      </w:pPr>
    </w:p>
    <w:p w14:paraId="23B2E6D1" w14:textId="77777777" w:rsidR="00844340" w:rsidRPr="004B00CE" w:rsidRDefault="00844340" w:rsidP="00844340">
      <w:pPr>
        <w:ind w:right="22"/>
        <w:rPr>
          <w:rFonts w:ascii="Calibri" w:hAnsi="Calibri" w:cs="Arial"/>
        </w:rPr>
      </w:pP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</w:p>
    <w:p w14:paraId="214DAE14" w14:textId="77777777" w:rsidR="00844340" w:rsidRPr="004B00CE" w:rsidRDefault="00844340" w:rsidP="00844340">
      <w:pPr>
        <w:ind w:right="22"/>
        <w:rPr>
          <w:rFonts w:ascii="Calibri" w:hAnsi="Calibri" w:cs="Arial"/>
        </w:rPr>
      </w:pPr>
    </w:p>
    <w:p w14:paraId="3C1BFA0D" w14:textId="77777777" w:rsidR="00844340" w:rsidRPr="004B00CE" w:rsidRDefault="00844340" w:rsidP="00844340">
      <w:pPr>
        <w:ind w:right="22"/>
        <w:rPr>
          <w:rFonts w:ascii="Calibri" w:hAnsi="Calibri" w:cs="Arial"/>
        </w:rPr>
      </w:pPr>
    </w:p>
    <w:p w14:paraId="185494D3" w14:textId="77777777" w:rsidR="00844340" w:rsidRPr="004B00CE" w:rsidRDefault="00844340" w:rsidP="00844340">
      <w:pPr>
        <w:ind w:right="22"/>
        <w:rPr>
          <w:rFonts w:ascii="Calibri" w:hAnsi="Calibri" w:cs="Arial"/>
        </w:rPr>
      </w:pP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</w:p>
    <w:p w14:paraId="7FDE1CCB" w14:textId="77777777" w:rsidR="00844340" w:rsidRDefault="00844340" w:rsidP="00844340">
      <w:pPr>
        <w:ind w:right="-109"/>
        <w:rPr>
          <w:rFonts w:ascii="Calibri" w:hAnsi="Calibri" w:cs="Arial"/>
          <w:b/>
          <w:smallCaps/>
          <w:sz w:val="26"/>
          <w:szCs w:val="26"/>
        </w:rPr>
      </w:pPr>
    </w:p>
    <w:p w14:paraId="07039627" w14:textId="77777777" w:rsidR="00844340" w:rsidRDefault="00844340" w:rsidP="00844340">
      <w:pPr>
        <w:ind w:right="-109"/>
        <w:rPr>
          <w:rFonts w:ascii="Calibri" w:hAnsi="Calibri" w:cs="Arial"/>
          <w:b/>
          <w:smallCaps/>
          <w:sz w:val="26"/>
          <w:szCs w:val="26"/>
        </w:rPr>
      </w:pPr>
    </w:p>
    <w:p w14:paraId="2FA41A21" w14:textId="77777777" w:rsidR="00844340" w:rsidRDefault="00844340" w:rsidP="00F05D9C">
      <w:pPr>
        <w:spacing w:after="0" w:line="240" w:lineRule="auto"/>
        <w:rPr>
          <w:rFonts w:ascii="Calibri" w:hAnsi="Calibri" w:cs="Arial"/>
          <w:b/>
          <w:smallCaps/>
          <w:sz w:val="26"/>
          <w:szCs w:val="26"/>
        </w:rPr>
      </w:pPr>
    </w:p>
    <w:p w14:paraId="458B3429" w14:textId="77777777" w:rsidR="00844340" w:rsidRPr="005504D6" w:rsidRDefault="00844340" w:rsidP="00F05D9C">
      <w:pPr>
        <w:spacing w:after="0" w:line="240" w:lineRule="auto"/>
        <w:rPr>
          <w:rFonts w:cs="Arial"/>
          <w:b/>
          <w:smallCaps/>
          <w:sz w:val="26"/>
          <w:szCs w:val="26"/>
        </w:rPr>
      </w:pPr>
    </w:p>
    <w:p w14:paraId="085CF060" w14:textId="77777777" w:rsidR="00844340" w:rsidRPr="005504D6" w:rsidRDefault="00844340" w:rsidP="00F05D9C">
      <w:pPr>
        <w:spacing w:after="0" w:line="240" w:lineRule="auto"/>
        <w:jc w:val="center"/>
        <w:rPr>
          <w:rFonts w:cs="Arial"/>
          <w:b/>
          <w:smallCaps/>
          <w:sz w:val="32"/>
          <w:szCs w:val="32"/>
        </w:rPr>
      </w:pPr>
      <w:r w:rsidRPr="005504D6">
        <w:rPr>
          <w:rFonts w:cs="Arial"/>
          <w:b/>
          <w:smallCaps/>
          <w:sz w:val="32"/>
          <w:szCs w:val="32"/>
        </w:rPr>
        <w:t>HRVATSKA BANKA ZA OBNOVU I RAZVITAK</w:t>
      </w:r>
    </w:p>
    <w:p w14:paraId="707E406E" w14:textId="77777777" w:rsidR="006F37BC" w:rsidRPr="005504D6" w:rsidRDefault="006F37BC" w:rsidP="00F05D9C">
      <w:pPr>
        <w:spacing w:after="0" w:line="240" w:lineRule="auto"/>
        <w:jc w:val="center"/>
        <w:rPr>
          <w:rFonts w:cs="Arial"/>
          <w:b/>
          <w:smallCaps/>
          <w:sz w:val="32"/>
          <w:szCs w:val="32"/>
        </w:rPr>
      </w:pPr>
    </w:p>
    <w:p w14:paraId="367AA696" w14:textId="77777777" w:rsidR="006F37BC" w:rsidRPr="005504D6" w:rsidRDefault="006F37BC" w:rsidP="00F05D9C">
      <w:pPr>
        <w:spacing w:after="0" w:line="240" w:lineRule="auto"/>
        <w:jc w:val="center"/>
        <w:rPr>
          <w:rFonts w:cs="Arial"/>
          <w:b/>
          <w:smallCaps/>
          <w:sz w:val="32"/>
          <w:szCs w:val="32"/>
        </w:rPr>
      </w:pPr>
    </w:p>
    <w:p w14:paraId="1A558E41" w14:textId="0CC14A4B" w:rsidR="00F05D9C" w:rsidRPr="005504D6" w:rsidRDefault="00E6174D" w:rsidP="00F05D9C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5504D6">
        <w:rPr>
          <w:rFonts w:cs="Arial"/>
          <w:b/>
          <w:sz w:val="32"/>
          <w:szCs w:val="32"/>
        </w:rPr>
        <w:t>GODIŠNJI PLAN POSLOVANJA ZA 20</w:t>
      </w:r>
      <w:r w:rsidR="00537386" w:rsidRPr="005504D6">
        <w:rPr>
          <w:rFonts w:cs="Arial"/>
          <w:b/>
          <w:sz w:val="32"/>
          <w:szCs w:val="32"/>
        </w:rPr>
        <w:t>2</w:t>
      </w:r>
      <w:r w:rsidR="00997BB3">
        <w:rPr>
          <w:rFonts w:cs="Arial"/>
          <w:b/>
          <w:sz w:val="32"/>
          <w:szCs w:val="32"/>
        </w:rPr>
        <w:t>4</w:t>
      </w:r>
      <w:r w:rsidR="000F2E14" w:rsidRPr="005504D6">
        <w:rPr>
          <w:rFonts w:cs="Arial"/>
          <w:b/>
          <w:sz w:val="32"/>
          <w:szCs w:val="32"/>
        </w:rPr>
        <w:t xml:space="preserve">. GODINU </w:t>
      </w:r>
    </w:p>
    <w:p w14:paraId="5F3F0B35" w14:textId="77777777" w:rsidR="00F05D9C" w:rsidRPr="005504D6" w:rsidRDefault="00137D4F" w:rsidP="00F05D9C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5504D6">
        <w:rPr>
          <w:rFonts w:cs="Arial"/>
          <w:b/>
          <w:sz w:val="32"/>
          <w:szCs w:val="32"/>
        </w:rPr>
        <w:t xml:space="preserve">I </w:t>
      </w:r>
    </w:p>
    <w:p w14:paraId="109DE7EB" w14:textId="77777777" w:rsidR="000F2E14" w:rsidRPr="005504D6" w:rsidRDefault="000F2E14" w:rsidP="00F05D9C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5504D6">
        <w:rPr>
          <w:rFonts w:cs="Arial"/>
          <w:b/>
          <w:sz w:val="32"/>
          <w:szCs w:val="32"/>
        </w:rPr>
        <w:t xml:space="preserve">SREDNJOROČNI PLAN POSLOVANJA </w:t>
      </w:r>
    </w:p>
    <w:p w14:paraId="14D6D8EC" w14:textId="49B41D32" w:rsidR="00F05D9C" w:rsidRPr="005504D6" w:rsidRDefault="000F2E14" w:rsidP="00F05D9C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5504D6">
        <w:rPr>
          <w:rFonts w:cs="Arial"/>
          <w:b/>
          <w:sz w:val="32"/>
          <w:szCs w:val="32"/>
        </w:rPr>
        <w:t xml:space="preserve">ZA RAZDOBLJE OD </w:t>
      </w:r>
      <w:r w:rsidR="00E6174D" w:rsidRPr="005504D6">
        <w:rPr>
          <w:rFonts w:cs="Arial"/>
          <w:b/>
          <w:sz w:val="32"/>
          <w:szCs w:val="32"/>
        </w:rPr>
        <w:t>20</w:t>
      </w:r>
      <w:r w:rsidR="00537386" w:rsidRPr="005504D6">
        <w:rPr>
          <w:rFonts w:cs="Arial"/>
          <w:b/>
          <w:sz w:val="32"/>
          <w:szCs w:val="32"/>
        </w:rPr>
        <w:t>2</w:t>
      </w:r>
      <w:r w:rsidR="00997BB3">
        <w:rPr>
          <w:rFonts w:cs="Arial"/>
          <w:b/>
          <w:sz w:val="32"/>
          <w:szCs w:val="32"/>
        </w:rPr>
        <w:t>4</w:t>
      </w:r>
      <w:r w:rsidR="00137D4F" w:rsidRPr="005504D6">
        <w:rPr>
          <w:rFonts w:cs="Arial"/>
          <w:b/>
          <w:sz w:val="32"/>
          <w:szCs w:val="32"/>
        </w:rPr>
        <w:t>.</w:t>
      </w:r>
      <w:r w:rsidR="00E6174D" w:rsidRPr="005504D6">
        <w:rPr>
          <w:rFonts w:cs="Arial"/>
          <w:b/>
          <w:sz w:val="32"/>
          <w:szCs w:val="32"/>
        </w:rPr>
        <w:t xml:space="preserve"> DO 202</w:t>
      </w:r>
      <w:r w:rsidR="00997BB3">
        <w:rPr>
          <w:rFonts w:cs="Arial"/>
          <w:b/>
          <w:sz w:val="32"/>
          <w:szCs w:val="32"/>
        </w:rPr>
        <w:t>6</w:t>
      </w:r>
      <w:r w:rsidRPr="005504D6">
        <w:rPr>
          <w:rFonts w:cs="Arial"/>
          <w:b/>
          <w:sz w:val="32"/>
          <w:szCs w:val="32"/>
        </w:rPr>
        <w:t>. GODINE</w:t>
      </w:r>
    </w:p>
    <w:p w14:paraId="114C9234" w14:textId="77777777" w:rsidR="000F2E14" w:rsidRPr="005504D6" w:rsidRDefault="000F2E14" w:rsidP="00F05D9C">
      <w:pPr>
        <w:spacing w:after="0" w:line="240" w:lineRule="auto"/>
        <w:jc w:val="center"/>
        <w:rPr>
          <w:rFonts w:cs="Arial"/>
          <w:b/>
          <w:sz w:val="32"/>
          <w:szCs w:val="32"/>
        </w:rPr>
      </w:pPr>
    </w:p>
    <w:p w14:paraId="41919EC5" w14:textId="77777777" w:rsidR="000F2E14" w:rsidRPr="005504D6" w:rsidRDefault="002653EA" w:rsidP="00F05D9C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5504D6">
        <w:rPr>
          <w:rFonts w:cs="Arial"/>
          <w:b/>
          <w:sz w:val="32"/>
          <w:szCs w:val="32"/>
        </w:rPr>
        <w:t>- opisni dio -</w:t>
      </w:r>
    </w:p>
    <w:p w14:paraId="0A84C928" w14:textId="77777777" w:rsidR="000F2E14" w:rsidRPr="005504D6" w:rsidRDefault="000F2E14" w:rsidP="00F05D9C">
      <w:pPr>
        <w:spacing w:after="0" w:line="240" w:lineRule="auto"/>
        <w:jc w:val="center"/>
        <w:rPr>
          <w:rFonts w:cs="Arial"/>
          <w:b/>
          <w:sz w:val="32"/>
          <w:szCs w:val="32"/>
        </w:rPr>
      </w:pPr>
    </w:p>
    <w:p w14:paraId="2325B1FD" w14:textId="77777777" w:rsidR="00844340" w:rsidRPr="005504D6" w:rsidRDefault="002933AE" w:rsidP="002933AE">
      <w:pPr>
        <w:pStyle w:val="ListParagraph"/>
        <w:ind w:left="0" w:right="57"/>
        <w:jc w:val="center"/>
        <w:rPr>
          <w:rFonts w:cs="Arial"/>
          <w:b/>
          <w:sz w:val="32"/>
          <w:szCs w:val="32"/>
        </w:rPr>
      </w:pPr>
      <w:r w:rsidRPr="005504D6">
        <w:rPr>
          <w:rFonts w:cs="Arial"/>
          <w:b/>
          <w:sz w:val="32"/>
          <w:szCs w:val="32"/>
        </w:rPr>
        <w:t xml:space="preserve">- </w:t>
      </w:r>
      <w:r w:rsidR="00844340" w:rsidRPr="005504D6">
        <w:rPr>
          <w:rFonts w:cs="Arial"/>
          <w:b/>
          <w:sz w:val="32"/>
          <w:szCs w:val="32"/>
        </w:rPr>
        <w:t>nekonsolidirano -</w:t>
      </w:r>
    </w:p>
    <w:p w14:paraId="782A020F" w14:textId="77777777" w:rsidR="00844340" w:rsidRPr="005504D6" w:rsidRDefault="00844340" w:rsidP="00844340">
      <w:pPr>
        <w:ind w:left="1506" w:right="-109"/>
        <w:rPr>
          <w:rFonts w:cs="Arial"/>
          <w:b/>
          <w:smallCaps/>
          <w:sz w:val="26"/>
          <w:szCs w:val="26"/>
        </w:rPr>
      </w:pPr>
    </w:p>
    <w:p w14:paraId="7E9E00C4" w14:textId="77777777" w:rsidR="00844340" w:rsidRPr="005504D6" w:rsidRDefault="00844340" w:rsidP="00844340">
      <w:pPr>
        <w:ind w:left="1506" w:right="-109"/>
        <w:jc w:val="both"/>
        <w:rPr>
          <w:rFonts w:cs="Arial"/>
          <w:b/>
          <w:smallCaps/>
          <w:sz w:val="26"/>
          <w:szCs w:val="26"/>
        </w:rPr>
      </w:pPr>
    </w:p>
    <w:p w14:paraId="0E906135" w14:textId="77777777" w:rsidR="00844340" w:rsidRPr="005504D6" w:rsidRDefault="00844340" w:rsidP="00844340">
      <w:pPr>
        <w:ind w:left="1506" w:right="-109"/>
        <w:jc w:val="both"/>
        <w:rPr>
          <w:rFonts w:cs="Arial"/>
          <w:b/>
          <w:sz w:val="26"/>
          <w:szCs w:val="26"/>
        </w:rPr>
      </w:pPr>
    </w:p>
    <w:p w14:paraId="53EDE76C" w14:textId="77777777" w:rsidR="00844340" w:rsidRPr="005504D6" w:rsidRDefault="00844340" w:rsidP="00844340">
      <w:pPr>
        <w:ind w:left="180" w:right="22"/>
        <w:rPr>
          <w:rFonts w:cs="Arial"/>
          <w:highlight w:val="yellow"/>
        </w:rPr>
      </w:pPr>
    </w:p>
    <w:p w14:paraId="68D40AC6" w14:textId="77777777" w:rsidR="00844340" w:rsidRPr="005504D6" w:rsidRDefault="00844340" w:rsidP="00844340">
      <w:pPr>
        <w:ind w:left="180" w:right="22"/>
        <w:rPr>
          <w:rFonts w:cs="Arial"/>
          <w:highlight w:val="yellow"/>
        </w:rPr>
      </w:pPr>
    </w:p>
    <w:p w14:paraId="29AE4764" w14:textId="77777777" w:rsidR="00844340" w:rsidRPr="005504D6" w:rsidRDefault="00844340" w:rsidP="00844340">
      <w:pPr>
        <w:ind w:right="-109"/>
        <w:jc w:val="both"/>
        <w:rPr>
          <w:rFonts w:cs="Arial"/>
          <w:b/>
        </w:rPr>
      </w:pPr>
    </w:p>
    <w:p w14:paraId="1DF58BAA" w14:textId="4300AA34" w:rsidR="00844340" w:rsidRPr="005504D6" w:rsidRDefault="00FE0B66" w:rsidP="00844340">
      <w:pPr>
        <w:ind w:right="-109"/>
        <w:jc w:val="center"/>
        <w:rPr>
          <w:rFonts w:cs="Arial"/>
          <w:b/>
          <w:sz w:val="20"/>
        </w:rPr>
        <w:sectPr w:rsidR="00844340" w:rsidRPr="005504D6" w:rsidSect="00E8484F">
          <w:footerReference w:type="default" r:id="rId8"/>
          <w:headerReference w:type="first" r:id="rId9"/>
          <w:pgSz w:w="11907" w:h="16840" w:code="9"/>
          <w:pgMar w:top="1276" w:right="1247" w:bottom="454" w:left="1276" w:header="79" w:footer="709" w:gutter="0"/>
          <w:cols w:space="708"/>
          <w:titlePg/>
          <w:docGrid w:linePitch="360"/>
        </w:sectPr>
      </w:pPr>
      <w:r w:rsidRPr="005504D6">
        <w:rPr>
          <w:rFonts w:cs="Arial"/>
          <w:b/>
          <w:sz w:val="20"/>
        </w:rPr>
        <w:t>Zagreb,</w:t>
      </w:r>
      <w:r w:rsidR="00A6416C" w:rsidRPr="005504D6">
        <w:rPr>
          <w:rFonts w:cs="Arial"/>
          <w:b/>
          <w:sz w:val="20"/>
        </w:rPr>
        <w:t xml:space="preserve"> </w:t>
      </w:r>
      <w:r w:rsidR="00997BB3">
        <w:rPr>
          <w:rFonts w:cs="Arial"/>
          <w:b/>
          <w:sz w:val="20"/>
        </w:rPr>
        <w:t xml:space="preserve">prosinac </w:t>
      </w:r>
      <w:r w:rsidR="00AE3E89" w:rsidRPr="005504D6">
        <w:rPr>
          <w:rFonts w:cs="Arial"/>
          <w:b/>
          <w:sz w:val="20"/>
        </w:rPr>
        <w:t>20</w:t>
      </w:r>
      <w:r w:rsidR="00C74F8B" w:rsidRPr="005504D6">
        <w:rPr>
          <w:rFonts w:cs="Arial"/>
          <w:b/>
          <w:sz w:val="20"/>
        </w:rPr>
        <w:t>2</w:t>
      </w:r>
      <w:r w:rsidR="00CB0DAA">
        <w:rPr>
          <w:rFonts w:cs="Arial"/>
          <w:b/>
          <w:sz w:val="20"/>
        </w:rPr>
        <w:t>3</w:t>
      </w:r>
      <w:r w:rsidR="00844340" w:rsidRPr="005504D6">
        <w:rPr>
          <w:rFonts w:cs="Arial"/>
          <w:b/>
          <w:sz w:val="20"/>
        </w:rPr>
        <w:t>. godine</w:t>
      </w:r>
    </w:p>
    <w:p w14:paraId="28D12004" w14:textId="77777777" w:rsidR="008F1DAD" w:rsidRPr="008F1DAD" w:rsidRDefault="008F1DAD" w:rsidP="00000A3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79C60F65" w14:textId="0581BFFB" w:rsidR="00C74F8B" w:rsidRPr="005504D6" w:rsidRDefault="00000A38" w:rsidP="00000A3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  <w:r w:rsidRPr="005504D6">
        <w:rPr>
          <w:rFonts w:cs="Arial"/>
          <w:sz w:val="20"/>
        </w:rPr>
        <w:t>Godišnji Plan poslovanja HBOR-a za 20</w:t>
      </w:r>
      <w:r w:rsidR="00651C1A" w:rsidRPr="005504D6">
        <w:rPr>
          <w:rFonts w:cs="Arial"/>
          <w:sz w:val="20"/>
        </w:rPr>
        <w:t>2</w:t>
      </w:r>
      <w:r w:rsidR="00794ADC" w:rsidRPr="005504D6">
        <w:rPr>
          <w:rFonts w:cs="Arial"/>
          <w:sz w:val="20"/>
        </w:rPr>
        <w:t>3</w:t>
      </w:r>
      <w:r w:rsidRPr="005504D6">
        <w:rPr>
          <w:rFonts w:cs="Arial"/>
          <w:sz w:val="20"/>
        </w:rPr>
        <w:t>. godinu i srednjoročni Plan poslovanja HBOR-a za razdoblje od 20</w:t>
      </w:r>
      <w:r w:rsidR="00802D57" w:rsidRPr="005504D6">
        <w:rPr>
          <w:rFonts w:cs="Arial"/>
          <w:sz w:val="20"/>
        </w:rPr>
        <w:t>2</w:t>
      </w:r>
      <w:r w:rsidR="00EA2E42">
        <w:rPr>
          <w:rFonts w:cs="Arial"/>
          <w:sz w:val="20"/>
        </w:rPr>
        <w:t>4</w:t>
      </w:r>
      <w:r w:rsidRPr="005504D6">
        <w:rPr>
          <w:rFonts w:cs="Arial"/>
          <w:sz w:val="20"/>
        </w:rPr>
        <w:t>. do 202</w:t>
      </w:r>
      <w:r w:rsidR="00EA2E42">
        <w:rPr>
          <w:rFonts w:cs="Arial"/>
          <w:sz w:val="20"/>
        </w:rPr>
        <w:t>6</w:t>
      </w:r>
      <w:r w:rsidRPr="005504D6">
        <w:rPr>
          <w:rFonts w:cs="Arial"/>
          <w:sz w:val="20"/>
        </w:rPr>
        <w:t xml:space="preserve">. godine sastavljen je temeljem Upute za izradu i dostavu planova </w:t>
      </w:r>
      <w:r w:rsidRPr="005504D6">
        <w:rPr>
          <w:rFonts w:eastAsia="Times New Roman" w:cs="Arial"/>
          <w:spacing w:val="-3"/>
          <w:sz w:val="20"/>
        </w:rPr>
        <w:t>i izvještaja o poslovanju trgovačkih društava i pravnih osoba koji čine državnu imovinu („Uputa“), Klasa:</w:t>
      </w:r>
      <w:r w:rsidR="008F2D78" w:rsidRPr="005504D6">
        <w:rPr>
          <w:rFonts w:eastAsia="Times New Roman" w:cs="Arial"/>
          <w:spacing w:val="-3"/>
          <w:sz w:val="20"/>
        </w:rPr>
        <w:t xml:space="preserve"> </w:t>
      </w:r>
      <w:r w:rsidRPr="005504D6">
        <w:rPr>
          <w:rFonts w:eastAsia="Times New Roman" w:cs="Arial"/>
          <w:spacing w:val="-3"/>
          <w:sz w:val="20"/>
        </w:rPr>
        <w:t>011-01/18-01/88, Urbroj: 536-0</w:t>
      </w:r>
      <w:r w:rsidR="00651C1A" w:rsidRPr="005504D6">
        <w:rPr>
          <w:rFonts w:eastAsia="Times New Roman" w:cs="Arial"/>
          <w:spacing w:val="-3"/>
          <w:sz w:val="20"/>
        </w:rPr>
        <w:t>4</w:t>
      </w:r>
      <w:r w:rsidRPr="005504D6">
        <w:rPr>
          <w:rFonts w:eastAsia="Times New Roman" w:cs="Arial"/>
          <w:spacing w:val="-3"/>
          <w:sz w:val="20"/>
        </w:rPr>
        <w:t>-01-0</w:t>
      </w:r>
      <w:r w:rsidR="00651C1A" w:rsidRPr="005504D6">
        <w:rPr>
          <w:rFonts w:eastAsia="Times New Roman" w:cs="Arial"/>
          <w:spacing w:val="-3"/>
          <w:sz w:val="20"/>
        </w:rPr>
        <w:t>2</w:t>
      </w:r>
      <w:r w:rsidRPr="005504D6">
        <w:rPr>
          <w:rFonts w:eastAsia="Times New Roman" w:cs="Arial"/>
          <w:spacing w:val="-3"/>
          <w:sz w:val="20"/>
        </w:rPr>
        <w:t>/0</w:t>
      </w:r>
      <w:r w:rsidR="00651C1A" w:rsidRPr="005504D6">
        <w:rPr>
          <w:rFonts w:eastAsia="Times New Roman" w:cs="Arial"/>
          <w:spacing w:val="-3"/>
          <w:sz w:val="20"/>
        </w:rPr>
        <w:t>2</w:t>
      </w:r>
      <w:r w:rsidRPr="005504D6">
        <w:rPr>
          <w:rFonts w:eastAsia="Times New Roman" w:cs="Arial"/>
          <w:spacing w:val="-3"/>
          <w:sz w:val="20"/>
        </w:rPr>
        <w:t>-1</w:t>
      </w:r>
      <w:r w:rsidR="00651C1A" w:rsidRPr="005504D6">
        <w:rPr>
          <w:rFonts w:eastAsia="Times New Roman" w:cs="Arial"/>
          <w:spacing w:val="-3"/>
          <w:sz w:val="20"/>
        </w:rPr>
        <w:t>9</w:t>
      </w:r>
      <w:r w:rsidRPr="005504D6">
        <w:rPr>
          <w:rFonts w:eastAsia="Times New Roman" w:cs="Arial"/>
          <w:spacing w:val="-3"/>
          <w:sz w:val="20"/>
        </w:rPr>
        <w:t>-</w:t>
      </w:r>
      <w:r w:rsidR="00651C1A" w:rsidRPr="005504D6">
        <w:rPr>
          <w:rFonts w:eastAsia="Times New Roman" w:cs="Arial"/>
          <w:spacing w:val="-3"/>
          <w:sz w:val="20"/>
        </w:rPr>
        <w:t>16</w:t>
      </w:r>
      <w:r w:rsidRPr="005504D6">
        <w:rPr>
          <w:rFonts w:eastAsia="Times New Roman" w:cs="Arial"/>
          <w:spacing w:val="-3"/>
          <w:sz w:val="20"/>
        </w:rPr>
        <w:t xml:space="preserve"> od </w:t>
      </w:r>
      <w:r w:rsidR="00651C1A" w:rsidRPr="005504D6">
        <w:rPr>
          <w:rFonts w:eastAsia="Times New Roman" w:cs="Arial"/>
          <w:spacing w:val="-3"/>
          <w:sz w:val="20"/>
        </w:rPr>
        <w:t>5</w:t>
      </w:r>
      <w:r w:rsidRPr="005504D6">
        <w:rPr>
          <w:rFonts w:eastAsia="Times New Roman" w:cs="Arial"/>
          <w:spacing w:val="-3"/>
          <w:sz w:val="20"/>
        </w:rPr>
        <w:t>. rujna 201</w:t>
      </w:r>
      <w:r w:rsidR="00651C1A" w:rsidRPr="005504D6">
        <w:rPr>
          <w:rFonts w:eastAsia="Times New Roman" w:cs="Arial"/>
          <w:spacing w:val="-3"/>
          <w:sz w:val="20"/>
        </w:rPr>
        <w:t>9</w:t>
      </w:r>
      <w:r w:rsidRPr="005504D6">
        <w:rPr>
          <w:rFonts w:eastAsia="Times New Roman" w:cs="Arial"/>
          <w:spacing w:val="-3"/>
          <w:sz w:val="20"/>
        </w:rPr>
        <w:t>. godine</w:t>
      </w:r>
      <w:r w:rsidR="00C74F8B" w:rsidRPr="005504D6">
        <w:rPr>
          <w:rFonts w:eastAsia="Times New Roman" w:cs="Arial"/>
          <w:spacing w:val="-3"/>
          <w:sz w:val="20"/>
        </w:rPr>
        <w:t>.</w:t>
      </w:r>
      <w:r w:rsidR="0013188A" w:rsidRPr="005504D6">
        <w:rPr>
          <w:rFonts w:eastAsia="Times New Roman" w:cs="Arial"/>
          <w:spacing w:val="-3"/>
          <w:sz w:val="20"/>
        </w:rPr>
        <w:t xml:space="preserve"> </w:t>
      </w:r>
      <w:r w:rsidR="00C74F8B" w:rsidRPr="005504D6">
        <w:rPr>
          <w:rFonts w:eastAsia="Times New Roman" w:cs="Arial"/>
          <w:spacing w:val="-3"/>
          <w:sz w:val="20"/>
        </w:rPr>
        <w:t>Godišnji Plan poslovanja HBOR-a za 202</w:t>
      </w:r>
      <w:r w:rsidR="00EA2E42">
        <w:rPr>
          <w:rFonts w:eastAsia="Times New Roman" w:cs="Arial"/>
          <w:spacing w:val="-3"/>
          <w:sz w:val="20"/>
        </w:rPr>
        <w:t>4</w:t>
      </w:r>
      <w:r w:rsidR="00C74F8B" w:rsidRPr="005504D6">
        <w:rPr>
          <w:rFonts w:eastAsia="Times New Roman" w:cs="Arial"/>
          <w:spacing w:val="-3"/>
          <w:sz w:val="20"/>
        </w:rPr>
        <w:t>. godinu i srednjoročni Plan poslovanja HBOR-a za razdoblje od 20</w:t>
      </w:r>
      <w:r w:rsidR="001D4699" w:rsidRPr="005504D6">
        <w:rPr>
          <w:rFonts w:eastAsia="Times New Roman" w:cs="Arial"/>
          <w:spacing w:val="-3"/>
          <w:sz w:val="20"/>
        </w:rPr>
        <w:t>2</w:t>
      </w:r>
      <w:r w:rsidR="00EA2E42">
        <w:rPr>
          <w:rFonts w:eastAsia="Times New Roman" w:cs="Arial"/>
          <w:spacing w:val="-3"/>
          <w:sz w:val="20"/>
        </w:rPr>
        <w:t>4</w:t>
      </w:r>
      <w:r w:rsidR="00C74F8B" w:rsidRPr="005504D6">
        <w:rPr>
          <w:rFonts w:eastAsia="Times New Roman" w:cs="Arial"/>
          <w:spacing w:val="-3"/>
          <w:sz w:val="20"/>
        </w:rPr>
        <w:t>. do 202</w:t>
      </w:r>
      <w:r w:rsidR="00EA2E42">
        <w:rPr>
          <w:rFonts w:eastAsia="Times New Roman" w:cs="Arial"/>
          <w:spacing w:val="-3"/>
          <w:sz w:val="20"/>
        </w:rPr>
        <w:t>6</w:t>
      </w:r>
      <w:r w:rsidR="00C74F8B" w:rsidRPr="005504D6">
        <w:rPr>
          <w:rFonts w:eastAsia="Times New Roman" w:cs="Arial"/>
          <w:spacing w:val="-3"/>
          <w:sz w:val="20"/>
        </w:rPr>
        <w:t>. godine temelj</w:t>
      </w:r>
      <w:r w:rsidR="0099240B" w:rsidRPr="005504D6">
        <w:rPr>
          <w:rFonts w:eastAsia="Times New Roman" w:cs="Arial"/>
          <w:spacing w:val="-3"/>
          <w:sz w:val="20"/>
        </w:rPr>
        <w:t>e</w:t>
      </w:r>
      <w:r w:rsidR="00C74F8B" w:rsidRPr="005504D6">
        <w:rPr>
          <w:rFonts w:eastAsia="Times New Roman" w:cs="Arial"/>
          <w:spacing w:val="-3"/>
          <w:sz w:val="20"/>
        </w:rPr>
        <w:t xml:space="preserve"> se na:</w:t>
      </w:r>
    </w:p>
    <w:p w14:paraId="3E497CA5" w14:textId="77777777" w:rsidR="00807921" w:rsidRPr="005504D6" w:rsidRDefault="00807921" w:rsidP="00BA305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</w:p>
    <w:p w14:paraId="09B3EEB6" w14:textId="77777777" w:rsidR="00C74F8B" w:rsidRPr="00666FE2" w:rsidRDefault="00C74F8B" w:rsidP="00666FE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  <w:highlight w:val="yellow"/>
        </w:rPr>
      </w:pPr>
    </w:p>
    <w:p w14:paraId="56D98146" w14:textId="223C2645" w:rsidR="00C74F8B" w:rsidRPr="003C40AE" w:rsidRDefault="007E2D04" w:rsidP="00C74F8B">
      <w:pPr>
        <w:pStyle w:val="ListParagraph"/>
        <w:numPr>
          <w:ilvl w:val="0"/>
          <w:numId w:val="41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  <w:r w:rsidRPr="003C40AE">
        <w:rPr>
          <w:rFonts w:eastAsia="Times New Roman" w:cs="Arial"/>
          <w:spacing w:val="-3"/>
          <w:sz w:val="20"/>
        </w:rPr>
        <w:t>O</w:t>
      </w:r>
      <w:r w:rsidR="00FC7FB4" w:rsidRPr="003C40AE">
        <w:rPr>
          <w:rFonts w:eastAsia="Times New Roman" w:cs="Arial"/>
          <w:spacing w:val="-3"/>
          <w:sz w:val="20"/>
        </w:rPr>
        <w:t>dvojeno</w:t>
      </w:r>
      <w:r w:rsidR="00000BA5" w:rsidRPr="003C40AE">
        <w:rPr>
          <w:rFonts w:eastAsia="Times New Roman" w:cs="Arial"/>
          <w:spacing w:val="-3"/>
          <w:sz w:val="20"/>
        </w:rPr>
        <w:t>m</w:t>
      </w:r>
      <w:r w:rsidR="00FC7FB4" w:rsidRPr="003C40AE">
        <w:rPr>
          <w:rFonts w:eastAsia="Times New Roman" w:cs="Arial"/>
          <w:spacing w:val="-3"/>
          <w:sz w:val="20"/>
        </w:rPr>
        <w:t xml:space="preserve"> i konsolidiran</w:t>
      </w:r>
      <w:r w:rsidR="00E43C2E" w:rsidRPr="003C40AE">
        <w:rPr>
          <w:rFonts w:eastAsia="Times New Roman" w:cs="Arial"/>
          <w:spacing w:val="-3"/>
          <w:sz w:val="20"/>
        </w:rPr>
        <w:t xml:space="preserve">om </w:t>
      </w:r>
      <w:r w:rsidR="00FC7FB4" w:rsidRPr="003C40AE">
        <w:rPr>
          <w:rFonts w:eastAsia="Times New Roman" w:cs="Arial"/>
          <w:spacing w:val="-3"/>
          <w:sz w:val="20"/>
        </w:rPr>
        <w:t>Financijsko</w:t>
      </w:r>
      <w:r w:rsidR="00E43C2E" w:rsidRPr="003C40AE">
        <w:rPr>
          <w:rFonts w:eastAsia="Times New Roman" w:cs="Arial"/>
          <w:spacing w:val="-3"/>
          <w:sz w:val="20"/>
        </w:rPr>
        <w:t>m</w:t>
      </w:r>
      <w:r w:rsidR="00FC7FB4" w:rsidRPr="003C40AE">
        <w:rPr>
          <w:rFonts w:eastAsia="Times New Roman" w:cs="Arial"/>
          <w:spacing w:val="-3"/>
          <w:sz w:val="20"/>
        </w:rPr>
        <w:t xml:space="preserve"> plan</w:t>
      </w:r>
      <w:r w:rsidR="00E43C2E" w:rsidRPr="003C40AE">
        <w:rPr>
          <w:rFonts w:eastAsia="Times New Roman" w:cs="Arial"/>
          <w:spacing w:val="-3"/>
          <w:sz w:val="20"/>
        </w:rPr>
        <w:t>u</w:t>
      </w:r>
      <w:r w:rsidR="00FC7FB4" w:rsidRPr="003C40AE">
        <w:rPr>
          <w:rFonts w:eastAsia="Times New Roman" w:cs="Arial"/>
          <w:spacing w:val="-3"/>
          <w:sz w:val="20"/>
        </w:rPr>
        <w:t xml:space="preserve"> HBOR-a i Grupe HBOR za razdoblje od 202</w:t>
      </w:r>
      <w:r w:rsidR="00260450" w:rsidRPr="003C40AE">
        <w:rPr>
          <w:rFonts w:eastAsia="Times New Roman" w:cs="Arial"/>
          <w:spacing w:val="-3"/>
          <w:sz w:val="20"/>
        </w:rPr>
        <w:t>3</w:t>
      </w:r>
      <w:r w:rsidR="00FC7FB4" w:rsidRPr="003C40AE">
        <w:rPr>
          <w:rFonts w:eastAsia="Times New Roman" w:cs="Arial"/>
          <w:spacing w:val="-3"/>
          <w:sz w:val="20"/>
        </w:rPr>
        <w:t>. do 202</w:t>
      </w:r>
      <w:r w:rsidR="00666FE2" w:rsidRPr="003C40AE">
        <w:rPr>
          <w:rFonts w:eastAsia="Times New Roman" w:cs="Arial"/>
          <w:spacing w:val="-3"/>
          <w:sz w:val="20"/>
        </w:rPr>
        <w:t>7</w:t>
      </w:r>
      <w:r w:rsidR="001D4699" w:rsidRPr="003C40AE">
        <w:rPr>
          <w:rFonts w:eastAsia="Times New Roman" w:cs="Arial"/>
          <w:spacing w:val="-3"/>
          <w:sz w:val="20"/>
        </w:rPr>
        <w:t>.</w:t>
      </w:r>
      <w:r w:rsidR="00FC7FB4" w:rsidRPr="003C40AE">
        <w:rPr>
          <w:rFonts w:eastAsia="Times New Roman" w:cs="Arial"/>
          <w:spacing w:val="-3"/>
          <w:sz w:val="20"/>
        </w:rPr>
        <w:t xml:space="preserve"> godine kojeg je Uprava HBOR-a prihvatila na sjednici održanoj </w:t>
      </w:r>
      <w:r w:rsidR="00527025" w:rsidRPr="003C40AE">
        <w:rPr>
          <w:rFonts w:eastAsia="Times New Roman" w:cs="Arial"/>
          <w:spacing w:val="-3"/>
          <w:sz w:val="20"/>
        </w:rPr>
        <w:t>7</w:t>
      </w:r>
      <w:r w:rsidR="00FC7FB4" w:rsidRPr="003C40AE">
        <w:rPr>
          <w:rFonts w:eastAsia="Times New Roman" w:cs="Arial"/>
          <w:spacing w:val="-3"/>
          <w:sz w:val="20"/>
        </w:rPr>
        <w:t xml:space="preserve">. </w:t>
      </w:r>
      <w:r w:rsidR="00527025" w:rsidRPr="003C40AE">
        <w:rPr>
          <w:rFonts w:eastAsia="Times New Roman" w:cs="Arial"/>
          <w:spacing w:val="-3"/>
          <w:sz w:val="20"/>
        </w:rPr>
        <w:t>prosinca</w:t>
      </w:r>
      <w:r w:rsidR="00FC7FB4" w:rsidRPr="003C40AE">
        <w:rPr>
          <w:rFonts w:eastAsia="Times New Roman" w:cs="Arial"/>
          <w:spacing w:val="-3"/>
          <w:sz w:val="20"/>
        </w:rPr>
        <w:t xml:space="preserve"> 202</w:t>
      </w:r>
      <w:r w:rsidR="00527025" w:rsidRPr="003C40AE">
        <w:rPr>
          <w:rFonts w:eastAsia="Times New Roman" w:cs="Arial"/>
          <w:spacing w:val="-3"/>
          <w:sz w:val="20"/>
        </w:rPr>
        <w:t>3</w:t>
      </w:r>
      <w:r w:rsidR="00FC7FB4" w:rsidRPr="003C40AE">
        <w:rPr>
          <w:rFonts w:eastAsia="Times New Roman" w:cs="Arial"/>
          <w:spacing w:val="-3"/>
          <w:sz w:val="20"/>
        </w:rPr>
        <w:t xml:space="preserve">. godine i </w:t>
      </w:r>
      <w:r w:rsidRPr="003C40AE">
        <w:rPr>
          <w:rFonts w:eastAsia="Times New Roman" w:cs="Arial"/>
          <w:spacing w:val="-3"/>
          <w:sz w:val="20"/>
        </w:rPr>
        <w:t xml:space="preserve">Nadzorni odbor dao suglasnost </w:t>
      </w:r>
      <w:r w:rsidR="00527025" w:rsidRPr="003C40AE">
        <w:rPr>
          <w:rFonts w:eastAsia="Times New Roman" w:cs="Arial"/>
          <w:spacing w:val="-3"/>
          <w:sz w:val="20"/>
        </w:rPr>
        <w:t>19</w:t>
      </w:r>
      <w:r w:rsidR="00C85677" w:rsidRPr="003C40AE">
        <w:rPr>
          <w:rFonts w:eastAsia="Times New Roman" w:cs="Arial"/>
          <w:spacing w:val="-3"/>
          <w:sz w:val="20"/>
        </w:rPr>
        <w:t xml:space="preserve">. </w:t>
      </w:r>
      <w:r w:rsidR="00527025" w:rsidRPr="003C40AE">
        <w:rPr>
          <w:rFonts w:eastAsia="Times New Roman" w:cs="Arial"/>
          <w:spacing w:val="-3"/>
          <w:sz w:val="20"/>
        </w:rPr>
        <w:t>prosinca</w:t>
      </w:r>
      <w:r w:rsidR="00E43C2E" w:rsidRPr="003C40AE">
        <w:rPr>
          <w:rFonts w:eastAsia="Times New Roman" w:cs="Arial"/>
          <w:spacing w:val="-3"/>
          <w:sz w:val="20"/>
        </w:rPr>
        <w:t xml:space="preserve"> 202</w:t>
      </w:r>
      <w:r w:rsidR="003C40AE" w:rsidRPr="003C40AE">
        <w:rPr>
          <w:rFonts w:eastAsia="Times New Roman" w:cs="Arial"/>
          <w:spacing w:val="-3"/>
          <w:sz w:val="20"/>
        </w:rPr>
        <w:t>3</w:t>
      </w:r>
      <w:r w:rsidR="00C85677" w:rsidRPr="003C40AE">
        <w:rPr>
          <w:rFonts w:eastAsia="Times New Roman" w:cs="Arial"/>
          <w:spacing w:val="-3"/>
          <w:sz w:val="20"/>
        </w:rPr>
        <w:t>.</w:t>
      </w:r>
      <w:r w:rsidR="00E43C2E" w:rsidRPr="003C40AE">
        <w:rPr>
          <w:rFonts w:eastAsia="Times New Roman" w:cs="Arial"/>
          <w:spacing w:val="-3"/>
          <w:sz w:val="20"/>
        </w:rPr>
        <w:t xml:space="preserve"> godine</w:t>
      </w:r>
      <w:r w:rsidR="00000BA5" w:rsidRPr="003C40AE">
        <w:rPr>
          <w:rFonts w:eastAsia="Times New Roman" w:cs="Arial"/>
          <w:spacing w:val="-3"/>
          <w:sz w:val="20"/>
        </w:rPr>
        <w:t>.</w:t>
      </w:r>
    </w:p>
    <w:p w14:paraId="71414D5E" w14:textId="1DD68340" w:rsidR="00FC7FB4" w:rsidRPr="005504D6" w:rsidRDefault="00226276" w:rsidP="00BA3052">
      <w:pPr>
        <w:pStyle w:val="ListParagraph"/>
        <w:rPr>
          <w:rFonts w:eastAsia="Times New Roman" w:cs="Arial"/>
          <w:spacing w:val="-3"/>
          <w:sz w:val="20"/>
          <w:highlight w:val="yellow"/>
        </w:rPr>
      </w:pPr>
      <w:r>
        <w:rPr>
          <w:rFonts w:eastAsia="Times New Roman" w:cs="Arial"/>
          <w:spacing w:val="-3"/>
          <w:sz w:val="20"/>
          <w:highlight w:val="yellow"/>
        </w:rPr>
        <w:t xml:space="preserve"> </w:t>
      </w:r>
    </w:p>
    <w:p w14:paraId="71420169" w14:textId="77777777" w:rsidR="00FC7FB4" w:rsidRPr="005504D6" w:rsidRDefault="00FC7FB4" w:rsidP="00BA3052">
      <w:pPr>
        <w:pStyle w:val="ListParagraph"/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  <w:highlight w:val="yellow"/>
        </w:rPr>
      </w:pPr>
    </w:p>
    <w:p w14:paraId="0C3D1980" w14:textId="77777777" w:rsidR="00C74F8B" w:rsidRPr="005504D6" w:rsidRDefault="00C74F8B" w:rsidP="00000A3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</w:p>
    <w:p w14:paraId="1F07FCD3" w14:textId="5FF22D6A" w:rsidR="00000A38" w:rsidRPr="005504D6" w:rsidRDefault="00000A38" w:rsidP="00000A38">
      <w:pPr>
        <w:tabs>
          <w:tab w:val="right" w:pos="6663"/>
        </w:tabs>
        <w:spacing w:after="0" w:line="240" w:lineRule="auto"/>
        <w:jc w:val="both"/>
        <w:rPr>
          <w:rFonts w:cs="Arial"/>
          <w:sz w:val="20"/>
        </w:rPr>
      </w:pPr>
      <w:r w:rsidRPr="005504D6">
        <w:rPr>
          <w:rFonts w:cs="Arial"/>
          <w:sz w:val="20"/>
        </w:rPr>
        <w:t>Podaci godišnjeg Plana poslovanja za 202</w:t>
      </w:r>
      <w:r w:rsidR="00EA2E42">
        <w:rPr>
          <w:rFonts w:cs="Arial"/>
          <w:sz w:val="20"/>
        </w:rPr>
        <w:t>4</w:t>
      </w:r>
      <w:r w:rsidRPr="005504D6">
        <w:rPr>
          <w:rFonts w:cs="Arial"/>
          <w:sz w:val="20"/>
        </w:rPr>
        <w:t>. godinu i srednjoročnog Plana poslovanja za razdoblje od 202</w:t>
      </w:r>
      <w:r w:rsidR="00EA2E42">
        <w:rPr>
          <w:rFonts w:cs="Arial"/>
          <w:sz w:val="20"/>
        </w:rPr>
        <w:t>4</w:t>
      </w:r>
      <w:r w:rsidRPr="005504D6">
        <w:rPr>
          <w:rFonts w:cs="Arial"/>
          <w:sz w:val="20"/>
        </w:rPr>
        <w:t>. do 202</w:t>
      </w:r>
      <w:r w:rsidR="00EA2E42">
        <w:rPr>
          <w:rFonts w:cs="Arial"/>
          <w:sz w:val="20"/>
        </w:rPr>
        <w:t>6</w:t>
      </w:r>
      <w:r w:rsidRPr="005504D6">
        <w:rPr>
          <w:rFonts w:cs="Arial"/>
          <w:sz w:val="20"/>
        </w:rPr>
        <w:t>. godine dostavljaju se za potrebe ovog zahtjeva. Za svaku daljnju objavu i/ili distribuciju navedenih podataka potrebno je prethodno odobrenje HBOR-a.</w:t>
      </w:r>
    </w:p>
    <w:p w14:paraId="4A4B2B05" w14:textId="77777777" w:rsidR="003C40AE" w:rsidRDefault="003C40AE" w:rsidP="003C40AE">
      <w:pPr>
        <w:tabs>
          <w:tab w:val="left" w:pos="2680"/>
        </w:tabs>
        <w:rPr>
          <w:rFonts w:asciiTheme="minorHAnsi" w:hAnsiTheme="minorHAnsi"/>
          <w:sz w:val="24"/>
          <w:szCs w:val="24"/>
        </w:rPr>
      </w:pPr>
    </w:p>
    <w:p w14:paraId="7396CE4C" w14:textId="67DDFD4C" w:rsidR="00A611EA" w:rsidRPr="003C40AE" w:rsidRDefault="00A611EA" w:rsidP="003C40AE">
      <w:pPr>
        <w:tabs>
          <w:tab w:val="left" w:pos="2680"/>
        </w:tabs>
        <w:rPr>
          <w:rFonts w:asciiTheme="minorHAnsi" w:hAnsiTheme="minorHAnsi"/>
          <w:sz w:val="24"/>
          <w:szCs w:val="24"/>
        </w:rPr>
      </w:pPr>
      <w:r w:rsidRPr="005504D6">
        <w:rPr>
          <w:rFonts w:cs="Arial"/>
          <w:b/>
          <w:sz w:val="20"/>
        </w:rPr>
        <w:t xml:space="preserve">1. </w:t>
      </w:r>
      <w:r w:rsidR="00E6174D" w:rsidRPr="005504D6">
        <w:rPr>
          <w:rFonts w:cs="Arial"/>
          <w:b/>
          <w:sz w:val="20"/>
        </w:rPr>
        <w:t>Godišnji plan poslovanja za 20</w:t>
      </w:r>
      <w:r w:rsidR="00A71D09" w:rsidRPr="005504D6">
        <w:rPr>
          <w:rFonts w:cs="Arial"/>
          <w:b/>
          <w:sz w:val="20"/>
        </w:rPr>
        <w:t>2</w:t>
      </w:r>
      <w:r w:rsidR="00EA2E42">
        <w:rPr>
          <w:rFonts w:cs="Arial"/>
          <w:b/>
          <w:sz w:val="20"/>
        </w:rPr>
        <w:t>4</w:t>
      </w:r>
      <w:r w:rsidRPr="005504D6">
        <w:rPr>
          <w:rFonts w:cs="Arial"/>
          <w:b/>
          <w:sz w:val="20"/>
        </w:rPr>
        <w:t>. godinu:</w:t>
      </w:r>
    </w:p>
    <w:p w14:paraId="7B752594" w14:textId="77777777" w:rsidR="00D32F4D" w:rsidRPr="005504D6" w:rsidRDefault="00D32F4D" w:rsidP="00B257A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</w:rPr>
      </w:pPr>
    </w:p>
    <w:p w14:paraId="582F953A" w14:textId="572081EF" w:rsidR="00244833" w:rsidRPr="005504D6" w:rsidRDefault="00C24BEC" w:rsidP="00FA6EAD">
      <w:pPr>
        <w:pStyle w:val="ListParagraph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Arial"/>
          <w:b/>
          <w:sz w:val="20"/>
        </w:rPr>
      </w:pPr>
      <w:r w:rsidRPr="005504D6">
        <w:rPr>
          <w:rFonts w:cs="Arial"/>
          <w:b/>
          <w:sz w:val="20"/>
        </w:rPr>
        <w:t>a)</w:t>
      </w:r>
      <w:r w:rsidRPr="005504D6">
        <w:rPr>
          <w:rFonts w:cs="Arial"/>
          <w:b/>
          <w:sz w:val="20"/>
        </w:rPr>
        <w:tab/>
      </w:r>
      <w:r w:rsidR="000F2E14" w:rsidRPr="005504D6">
        <w:rPr>
          <w:rFonts w:cs="Arial"/>
          <w:b/>
          <w:sz w:val="20"/>
        </w:rPr>
        <w:t xml:space="preserve">Plan </w:t>
      </w:r>
      <w:r w:rsidR="00A71D09" w:rsidRPr="005504D6">
        <w:rPr>
          <w:rFonts w:cs="Arial"/>
          <w:b/>
          <w:sz w:val="20"/>
        </w:rPr>
        <w:t>Računa dobiti i gubitka</w:t>
      </w:r>
      <w:r w:rsidR="00347EEA" w:rsidRPr="005504D6">
        <w:rPr>
          <w:rFonts w:cs="Arial"/>
          <w:b/>
          <w:sz w:val="20"/>
        </w:rPr>
        <w:t xml:space="preserve"> </w:t>
      </w:r>
      <w:r w:rsidR="00D32F4D" w:rsidRPr="005504D6">
        <w:rPr>
          <w:rFonts w:cs="Arial"/>
          <w:b/>
          <w:sz w:val="20"/>
        </w:rPr>
        <w:t xml:space="preserve">HBOR-a </w:t>
      </w:r>
      <w:r w:rsidR="00347EEA" w:rsidRPr="005504D6">
        <w:rPr>
          <w:rFonts w:cs="Arial"/>
          <w:b/>
          <w:sz w:val="20"/>
        </w:rPr>
        <w:t xml:space="preserve">za </w:t>
      </w:r>
      <w:r w:rsidR="00D32F4D" w:rsidRPr="005504D6">
        <w:rPr>
          <w:rFonts w:cs="Arial"/>
          <w:b/>
          <w:sz w:val="20"/>
        </w:rPr>
        <w:t xml:space="preserve">razdoblje od 1. siječnja do 31. </w:t>
      </w:r>
      <w:r w:rsidR="00B3441B" w:rsidRPr="005504D6">
        <w:rPr>
          <w:rFonts w:cs="Arial"/>
          <w:b/>
          <w:sz w:val="20"/>
        </w:rPr>
        <w:t>prosinca 20</w:t>
      </w:r>
      <w:r w:rsidR="00A71D09" w:rsidRPr="005504D6">
        <w:rPr>
          <w:rFonts w:cs="Arial"/>
          <w:b/>
          <w:sz w:val="20"/>
        </w:rPr>
        <w:t>2</w:t>
      </w:r>
      <w:r w:rsidR="00EA2E42">
        <w:rPr>
          <w:rFonts w:cs="Arial"/>
          <w:b/>
          <w:sz w:val="20"/>
        </w:rPr>
        <w:t>4</w:t>
      </w:r>
      <w:r w:rsidR="009E146E" w:rsidRPr="005504D6">
        <w:rPr>
          <w:rFonts w:cs="Arial"/>
          <w:b/>
          <w:sz w:val="20"/>
        </w:rPr>
        <w:t>. godine i trendov</w:t>
      </w:r>
      <w:r w:rsidR="005B5B3B" w:rsidRPr="005504D6">
        <w:rPr>
          <w:rFonts w:cs="Arial"/>
          <w:b/>
          <w:sz w:val="20"/>
        </w:rPr>
        <w:t>i</w:t>
      </w:r>
      <w:r w:rsidR="00D32F4D" w:rsidRPr="005504D6">
        <w:rPr>
          <w:rFonts w:cs="Arial"/>
          <w:b/>
          <w:sz w:val="20"/>
        </w:rPr>
        <w:t xml:space="preserve"> kretanja:</w:t>
      </w:r>
    </w:p>
    <w:p w14:paraId="347CB2A7" w14:textId="77777777" w:rsidR="00347EEA" w:rsidRPr="00CF5E94" w:rsidRDefault="00347EEA" w:rsidP="006C5E2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/>
          <w:b/>
          <w:sz w:val="16"/>
          <w:szCs w:val="16"/>
          <w:highlight w:val="cyan"/>
        </w:rPr>
      </w:pPr>
    </w:p>
    <w:tbl>
      <w:tblPr>
        <w:tblW w:w="4724" w:type="pct"/>
        <w:jc w:val="center"/>
        <w:tblLayout w:type="fixed"/>
        <w:tblLook w:val="04A0" w:firstRow="1" w:lastRow="0" w:firstColumn="1" w:lastColumn="0" w:noHBand="0" w:noVBand="1"/>
      </w:tblPr>
      <w:tblGrid>
        <w:gridCol w:w="4018"/>
        <w:gridCol w:w="1517"/>
        <w:gridCol w:w="1517"/>
        <w:gridCol w:w="1519"/>
      </w:tblGrid>
      <w:tr w:rsidR="00A21432" w:rsidRPr="00514A44" w14:paraId="33E68364" w14:textId="77777777" w:rsidTr="00C12B52">
        <w:trPr>
          <w:trHeight w:val="84"/>
          <w:jc w:val="center"/>
        </w:trPr>
        <w:tc>
          <w:tcPr>
            <w:tcW w:w="8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C0325" w14:textId="77777777" w:rsidR="00A21432" w:rsidRPr="00514A44" w:rsidRDefault="00A21432" w:rsidP="00C12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 xml:space="preserve">RAČUN  DOBITI  I  GUBITKA </w:t>
            </w:r>
          </w:p>
          <w:p w14:paraId="6A11473B" w14:textId="77777777" w:rsidR="00A21432" w:rsidRPr="00514A44" w:rsidRDefault="00A21432" w:rsidP="00C12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za  razdoblje  od  1. siječnja  do 31. prosinca</w:t>
            </w:r>
          </w:p>
        </w:tc>
      </w:tr>
      <w:tr w:rsidR="00A21432" w:rsidRPr="00514A44" w14:paraId="41E71973" w14:textId="77777777" w:rsidTr="00C12B52">
        <w:trPr>
          <w:trHeight w:val="120"/>
          <w:jc w:val="center"/>
        </w:trPr>
        <w:tc>
          <w:tcPr>
            <w:tcW w:w="8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4B6ED1" w14:textId="77777777" w:rsidR="00A21432" w:rsidRPr="00514A44" w:rsidRDefault="00A21432" w:rsidP="00C12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</w:tr>
      <w:tr w:rsidR="00A21432" w:rsidRPr="00514A44" w14:paraId="6CEFD9E6" w14:textId="77777777" w:rsidTr="00C12B52">
        <w:trPr>
          <w:trHeight w:val="84"/>
          <w:jc w:val="center"/>
        </w:trPr>
        <w:tc>
          <w:tcPr>
            <w:tcW w:w="8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81C3B" w14:textId="77777777" w:rsidR="00A21432" w:rsidRPr="00514A44" w:rsidRDefault="00A21432" w:rsidP="00C12B52">
            <w:pPr>
              <w:spacing w:after="0" w:line="240" w:lineRule="auto"/>
              <w:jc w:val="right"/>
              <w:rPr>
                <w:rFonts w:eastAsia="Times New Roman" w:cs="Arial"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Cs/>
                <w:sz w:val="18"/>
                <w:szCs w:val="18"/>
              </w:rPr>
              <w:t>(u EUR, indeks)</w:t>
            </w:r>
          </w:p>
        </w:tc>
      </w:tr>
      <w:tr w:rsidR="00A21432" w:rsidRPr="00514A44" w14:paraId="70FAA8E6" w14:textId="77777777" w:rsidTr="00C12B52">
        <w:trPr>
          <w:trHeight w:val="341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73DEC" w14:textId="77777777" w:rsidR="00A21432" w:rsidRPr="00514A44" w:rsidRDefault="00A21432" w:rsidP="00C12B5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F59D5" w14:textId="77777777" w:rsidR="00A21432" w:rsidRPr="00514A44" w:rsidRDefault="00A21432" w:rsidP="00C12B52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sz w:val="18"/>
                <w:szCs w:val="18"/>
              </w:rPr>
              <w:t>Plan</w:t>
            </w:r>
          </w:p>
          <w:p w14:paraId="700604B6" w14:textId="5E535997" w:rsidR="00A21432" w:rsidRPr="00514A44" w:rsidRDefault="00A21432" w:rsidP="00C12B52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EA2E42" w:rsidRPr="00514A44">
              <w:rPr>
                <w:rFonts w:cs="Arial"/>
                <w:b/>
                <w:bCs/>
                <w:sz w:val="18"/>
                <w:szCs w:val="18"/>
              </w:rPr>
              <w:t>3</w:t>
            </w:r>
            <w:r w:rsidRPr="00514A44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FAD22" w14:textId="77777777" w:rsidR="00A21432" w:rsidRPr="00514A44" w:rsidRDefault="00A21432" w:rsidP="00C12B52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sz w:val="18"/>
                <w:szCs w:val="18"/>
              </w:rPr>
              <w:t xml:space="preserve">Plan za </w:t>
            </w:r>
          </w:p>
          <w:p w14:paraId="52D1C44C" w14:textId="3A7D8F23" w:rsidR="00A21432" w:rsidRPr="00514A44" w:rsidRDefault="00A21432" w:rsidP="00C12B52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EA2E42" w:rsidRPr="00514A44">
              <w:rPr>
                <w:rFonts w:cs="Arial"/>
                <w:b/>
                <w:bCs/>
                <w:sz w:val="18"/>
                <w:szCs w:val="18"/>
              </w:rPr>
              <w:t>4</w:t>
            </w:r>
            <w:r w:rsidRPr="00514A44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745F" w14:textId="715BAD85" w:rsidR="00A21432" w:rsidRPr="00514A44" w:rsidRDefault="00A21432" w:rsidP="00C12B52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sz w:val="18"/>
                <w:szCs w:val="18"/>
              </w:rPr>
              <w:t xml:space="preserve">Indeks </w:t>
            </w:r>
            <w:r w:rsidRPr="00514A44">
              <w:rPr>
                <w:rFonts w:cs="Arial"/>
                <w:b/>
                <w:bCs/>
                <w:sz w:val="18"/>
                <w:szCs w:val="18"/>
              </w:rPr>
              <w:br/>
              <w:t>Plan 202</w:t>
            </w:r>
            <w:r w:rsidR="00EA2E42" w:rsidRPr="00514A44">
              <w:rPr>
                <w:rFonts w:cs="Arial"/>
                <w:b/>
                <w:bCs/>
                <w:sz w:val="18"/>
                <w:szCs w:val="18"/>
              </w:rPr>
              <w:t>4</w:t>
            </w:r>
            <w:r w:rsidRPr="00514A44">
              <w:rPr>
                <w:rFonts w:cs="Arial"/>
                <w:b/>
                <w:bCs/>
                <w:sz w:val="18"/>
                <w:szCs w:val="18"/>
              </w:rPr>
              <w:t xml:space="preserve">./ </w:t>
            </w:r>
          </w:p>
          <w:p w14:paraId="2CD13568" w14:textId="65D65ACB" w:rsidR="00A21432" w:rsidRPr="00514A44" w:rsidRDefault="00A21432" w:rsidP="00C12B52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EA2E42" w:rsidRPr="00514A44">
              <w:rPr>
                <w:rFonts w:cs="Arial"/>
                <w:b/>
                <w:bCs/>
                <w:sz w:val="18"/>
                <w:szCs w:val="18"/>
              </w:rPr>
              <w:t>3</w:t>
            </w:r>
            <w:r w:rsidRPr="00514A44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</w:tr>
      <w:tr w:rsidR="00A21432" w:rsidRPr="00514A44" w14:paraId="5C5FA10B" w14:textId="77777777" w:rsidTr="00C12B52">
        <w:trPr>
          <w:trHeight w:val="84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44546A"/>
            <w:vAlign w:val="center"/>
          </w:tcPr>
          <w:p w14:paraId="5B2E82C1" w14:textId="77777777" w:rsidR="00A21432" w:rsidRPr="00514A44" w:rsidRDefault="00A21432" w:rsidP="00C12B5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center"/>
          </w:tcPr>
          <w:p w14:paraId="225B020D" w14:textId="77777777" w:rsidR="00A21432" w:rsidRPr="00514A44" w:rsidRDefault="00A21432" w:rsidP="00C12B5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center"/>
          </w:tcPr>
          <w:p w14:paraId="186A81B2" w14:textId="77777777" w:rsidR="00A21432" w:rsidRPr="00514A44" w:rsidRDefault="00A21432" w:rsidP="00C12B52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4546A"/>
            <w:noWrap/>
            <w:vAlign w:val="center"/>
          </w:tcPr>
          <w:p w14:paraId="48FE3C64" w14:textId="77777777" w:rsidR="00A21432" w:rsidRPr="00514A44" w:rsidRDefault="00A21432" w:rsidP="00C12B5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987CAF" w:rsidRPr="00514A44" w14:paraId="0338BF38" w14:textId="77777777" w:rsidTr="00574411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1FF3B" w14:textId="77777777" w:rsidR="00987CAF" w:rsidRPr="00514A44" w:rsidRDefault="00987CAF" w:rsidP="00987CAF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Prihodi od kamata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96B46" w14:textId="55552470" w:rsidR="00987CAF" w:rsidRPr="00514A44" w:rsidRDefault="00987CAF" w:rsidP="00987CA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94.883.000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54B66" w14:textId="12BA2694" w:rsidR="00987CAF" w:rsidRPr="00514A44" w:rsidRDefault="00987CAF" w:rsidP="00987CA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106.996.000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A6246" w14:textId="23884ABA" w:rsidR="00987CAF" w:rsidRPr="00514A44" w:rsidRDefault="00987CAF" w:rsidP="00987CA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113</w:t>
            </w:r>
          </w:p>
        </w:tc>
      </w:tr>
      <w:tr w:rsidR="00987CAF" w:rsidRPr="00514A44" w14:paraId="7FC264D0" w14:textId="77777777" w:rsidTr="00574411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C8C21" w14:textId="77777777" w:rsidR="00987CAF" w:rsidRPr="00514A44" w:rsidRDefault="00987CAF" w:rsidP="00987CAF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Rashodi od kamata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89E18" w14:textId="6DB64C7D" w:rsidR="00987CAF" w:rsidRPr="00514A44" w:rsidRDefault="00987CAF" w:rsidP="00987CA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(27.691.000)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5A980" w14:textId="6FFFA567" w:rsidR="00987CAF" w:rsidRPr="00514A44" w:rsidRDefault="00987CAF" w:rsidP="00987CA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(45.901.000)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C488D7" w14:textId="20B52BD0" w:rsidR="00987CAF" w:rsidRPr="00514A44" w:rsidRDefault="00987CAF" w:rsidP="00987CA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166</w:t>
            </w:r>
          </w:p>
        </w:tc>
      </w:tr>
      <w:tr w:rsidR="00987CAF" w:rsidRPr="00514A44" w14:paraId="09D09E3F" w14:textId="77777777" w:rsidTr="00574411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center"/>
            <w:hideMark/>
          </w:tcPr>
          <w:p w14:paraId="5FA26F0E" w14:textId="77777777" w:rsidR="00987CAF" w:rsidRPr="00514A44" w:rsidRDefault="00987CAF" w:rsidP="00987C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Neto prihod od kamata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758B50B6" w14:textId="020A6C51" w:rsidR="00987CAF" w:rsidRPr="00514A44" w:rsidRDefault="00987CAF" w:rsidP="00987CAF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color w:val="000000"/>
                <w:sz w:val="18"/>
                <w:szCs w:val="18"/>
              </w:rPr>
              <w:t>67.192.000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7CA45425" w14:textId="02122309" w:rsidR="00987CAF" w:rsidRPr="00514A44" w:rsidRDefault="00987CAF" w:rsidP="00987CAF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color w:val="000000"/>
                <w:sz w:val="18"/>
                <w:szCs w:val="18"/>
              </w:rPr>
              <w:t>61.095.000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vAlign w:val="center"/>
          </w:tcPr>
          <w:p w14:paraId="473CFD5C" w14:textId="2898AB9C" w:rsidR="00987CAF" w:rsidRPr="00514A44" w:rsidRDefault="00987CAF" w:rsidP="00987CAF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color w:val="000000"/>
                <w:sz w:val="18"/>
                <w:szCs w:val="18"/>
              </w:rPr>
              <w:t>91</w:t>
            </w:r>
          </w:p>
        </w:tc>
      </w:tr>
      <w:tr w:rsidR="00987CAF" w:rsidRPr="00514A44" w14:paraId="52D7BC94" w14:textId="77777777" w:rsidTr="00574411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398FA" w14:textId="77777777" w:rsidR="00987CAF" w:rsidRPr="00514A44" w:rsidRDefault="00987CAF" w:rsidP="00987CAF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06A3D" w14:textId="77777777" w:rsidR="00987CAF" w:rsidRPr="00514A44" w:rsidRDefault="00987CAF" w:rsidP="00987CA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88193" w14:textId="77777777" w:rsidR="00987CAF" w:rsidRPr="00514A44" w:rsidRDefault="00987CAF" w:rsidP="00987CA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FAEF5" w14:textId="03FC57C8" w:rsidR="00987CAF" w:rsidRPr="00514A44" w:rsidRDefault="00987CAF" w:rsidP="00987CA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87CAF" w:rsidRPr="00514A44" w14:paraId="453BDCCA" w14:textId="77777777" w:rsidTr="00574411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A4FDC" w14:textId="77777777" w:rsidR="00987CAF" w:rsidRPr="00514A44" w:rsidRDefault="00987CAF" w:rsidP="00987CAF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Prihodi od naknada i provizija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67972" w14:textId="26AD96FE" w:rsidR="00987CAF" w:rsidRPr="00514A44" w:rsidRDefault="00987CAF" w:rsidP="00987CA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5.240.000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DF20A" w14:textId="7A5F4444" w:rsidR="00987CAF" w:rsidRPr="00514A44" w:rsidRDefault="00987CAF" w:rsidP="00987CA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4.794.000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6B4B7E" w14:textId="06808F47" w:rsidR="00987CAF" w:rsidRPr="00514A44" w:rsidRDefault="00987CAF" w:rsidP="00987CA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91</w:t>
            </w:r>
          </w:p>
        </w:tc>
      </w:tr>
      <w:tr w:rsidR="00987CAF" w:rsidRPr="00514A44" w14:paraId="26A83F97" w14:textId="77777777" w:rsidTr="00574411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21E2E" w14:textId="77777777" w:rsidR="00987CAF" w:rsidRPr="00514A44" w:rsidRDefault="00987CAF" w:rsidP="00987CAF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Rashodi od naknada i provizija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C9AAA" w14:textId="58A551DC" w:rsidR="00987CAF" w:rsidRPr="00514A44" w:rsidRDefault="00987CAF" w:rsidP="00987CA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(888.000)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617F7" w14:textId="4C44B85B" w:rsidR="00987CAF" w:rsidRPr="00514A44" w:rsidRDefault="00987CAF" w:rsidP="00987CA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(1.020.000)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323F03" w14:textId="5BAAC2BD" w:rsidR="00987CAF" w:rsidRPr="00514A44" w:rsidRDefault="00987CAF" w:rsidP="00987CA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115</w:t>
            </w:r>
          </w:p>
        </w:tc>
      </w:tr>
      <w:tr w:rsidR="00987CAF" w:rsidRPr="00514A44" w14:paraId="4783BBC9" w14:textId="77777777" w:rsidTr="00574411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center"/>
            <w:hideMark/>
          </w:tcPr>
          <w:p w14:paraId="1F9C541B" w14:textId="77777777" w:rsidR="00987CAF" w:rsidRPr="00514A44" w:rsidRDefault="00987CAF" w:rsidP="00987C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Neto prihod od naknada i provizija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4B5357E4" w14:textId="5D28B6D6" w:rsidR="00987CAF" w:rsidRPr="00514A44" w:rsidRDefault="00987CAF" w:rsidP="00987CAF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color w:val="000000"/>
                <w:sz w:val="18"/>
                <w:szCs w:val="18"/>
              </w:rPr>
              <w:t>4.352.000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575F95A0" w14:textId="23BC7E84" w:rsidR="00987CAF" w:rsidRPr="00514A44" w:rsidRDefault="00987CAF" w:rsidP="00987CAF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color w:val="000000"/>
                <w:sz w:val="18"/>
                <w:szCs w:val="18"/>
              </w:rPr>
              <w:t>3.774.000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vAlign w:val="center"/>
          </w:tcPr>
          <w:p w14:paraId="08FC0620" w14:textId="06B476A6" w:rsidR="00987CAF" w:rsidRPr="00514A44" w:rsidRDefault="00987CAF" w:rsidP="00987CAF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</w:tr>
      <w:tr w:rsidR="00A21432" w:rsidRPr="00514A44" w14:paraId="755987BC" w14:textId="77777777" w:rsidTr="00C12B52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7F6C5" w14:textId="77777777" w:rsidR="00A21432" w:rsidRPr="00514A44" w:rsidRDefault="00A21432" w:rsidP="00C12B52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2BADC" w14:textId="77777777" w:rsidR="00A21432" w:rsidRPr="00514A44" w:rsidRDefault="00A21432" w:rsidP="00C12B5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D754DB" w14:textId="77777777" w:rsidR="00A21432" w:rsidRPr="00514A44" w:rsidRDefault="00A21432" w:rsidP="00C12B5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DEFB40" w14:textId="77777777" w:rsidR="00A21432" w:rsidRPr="00514A44" w:rsidRDefault="00A21432" w:rsidP="00C12B5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21432" w:rsidRPr="00514A44" w14:paraId="13016DFC" w14:textId="77777777" w:rsidTr="00C12B52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2E10" w14:textId="77777777" w:rsidR="00A21432" w:rsidRPr="00514A44" w:rsidRDefault="00A21432" w:rsidP="00C12B52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Neto prihodi od financijskih aktivnosti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28CB8C" w14:textId="73ADAC4B" w:rsidR="00A21432" w:rsidRPr="00514A44" w:rsidRDefault="00987CAF" w:rsidP="00C12B5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156204" w14:textId="77777777" w:rsidR="00A21432" w:rsidRPr="00514A44" w:rsidRDefault="00A21432" w:rsidP="00C12B5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5E4171" w14:textId="77777777" w:rsidR="00A21432" w:rsidRPr="00514A44" w:rsidRDefault="00A21432" w:rsidP="00C12B5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sz w:val="18"/>
                <w:szCs w:val="18"/>
              </w:rPr>
              <w:t>-</w:t>
            </w:r>
          </w:p>
        </w:tc>
      </w:tr>
      <w:tr w:rsidR="00987CAF" w:rsidRPr="00514A44" w14:paraId="2C96F2FB" w14:textId="77777777" w:rsidTr="00AE5E99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51F89" w14:textId="77777777" w:rsidR="00987CAF" w:rsidRPr="00514A44" w:rsidRDefault="00987CAF" w:rsidP="00987CAF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Ostali prihodi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78D15" w14:textId="55283A4D" w:rsidR="00987CAF" w:rsidRPr="00514A44" w:rsidRDefault="00987CAF" w:rsidP="00987CA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2.185.000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C2EF3" w14:textId="6A23DB93" w:rsidR="00987CAF" w:rsidRPr="00514A44" w:rsidRDefault="00987CAF" w:rsidP="00987CA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2.422.000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D215B1" w14:textId="59231601" w:rsidR="00987CAF" w:rsidRPr="00514A44" w:rsidRDefault="00987CAF" w:rsidP="00987CA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111</w:t>
            </w:r>
          </w:p>
        </w:tc>
      </w:tr>
      <w:tr w:rsidR="00987CAF" w:rsidRPr="00514A44" w14:paraId="00F9EDE4" w14:textId="77777777" w:rsidTr="00AE5E99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44C32" w14:textId="77777777" w:rsidR="00987CAF" w:rsidRPr="00514A44" w:rsidRDefault="00987CAF" w:rsidP="00987CAF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BD8CD" w14:textId="2F2CADCD" w:rsidR="00987CAF" w:rsidRPr="00514A44" w:rsidRDefault="00987CAF" w:rsidP="00987CA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73.729.000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92AFB" w14:textId="0591A559" w:rsidR="00987CAF" w:rsidRPr="00514A44" w:rsidRDefault="00987CAF" w:rsidP="00987CA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67.291.000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D2B86C" w14:textId="532B1CF9" w:rsidR="00987CAF" w:rsidRPr="00514A44" w:rsidRDefault="00987CAF" w:rsidP="00987CA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91</w:t>
            </w:r>
          </w:p>
        </w:tc>
      </w:tr>
      <w:tr w:rsidR="00A21432" w:rsidRPr="00514A44" w14:paraId="1CAE258E" w14:textId="77777777" w:rsidTr="00C12B52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7F19D" w14:textId="77777777" w:rsidR="00A21432" w:rsidRPr="00514A44" w:rsidRDefault="00A21432" w:rsidP="00C12B52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CC6D7" w14:textId="77777777" w:rsidR="00A21432" w:rsidRPr="00514A44" w:rsidRDefault="00A21432" w:rsidP="00C12B5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4EAEE" w14:textId="77777777" w:rsidR="00A21432" w:rsidRPr="00514A44" w:rsidRDefault="00A21432" w:rsidP="00C12B5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856CDC" w14:textId="77777777" w:rsidR="00A21432" w:rsidRPr="00514A44" w:rsidRDefault="00A21432" w:rsidP="00C12B5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87CAF" w:rsidRPr="00514A44" w14:paraId="68484D02" w14:textId="77777777" w:rsidTr="002702EB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36A7D" w14:textId="77777777" w:rsidR="00987CAF" w:rsidRPr="00514A44" w:rsidRDefault="00987CAF" w:rsidP="00987CAF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Operativni troškovi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91634" w14:textId="1AE7894A" w:rsidR="00987CAF" w:rsidRPr="00514A44" w:rsidRDefault="00987CAF" w:rsidP="00987CA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(25.700.000)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585BB" w14:textId="2D295036" w:rsidR="00987CAF" w:rsidRPr="00514A44" w:rsidRDefault="00987CAF" w:rsidP="00987CA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(31.335.000)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F843A7" w14:textId="56E16383" w:rsidR="00987CAF" w:rsidRPr="00514A44" w:rsidRDefault="00987CAF" w:rsidP="00987CA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122</w:t>
            </w:r>
          </w:p>
        </w:tc>
      </w:tr>
      <w:tr w:rsidR="00987CAF" w:rsidRPr="00514A44" w14:paraId="653D813E" w14:textId="77777777" w:rsidTr="002702EB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F42EF" w14:textId="77777777" w:rsidR="00987CAF" w:rsidRPr="00514A44" w:rsidRDefault="00987CAF" w:rsidP="00987CAF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Gubitak od umanjenja vrijednosti i rezerviranja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7924F" w14:textId="3725CE26" w:rsidR="00987CAF" w:rsidRPr="00514A44" w:rsidRDefault="00987CAF" w:rsidP="00987CA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(19.023.000)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49F1E" w14:textId="1A2BEC7E" w:rsidR="00987CAF" w:rsidRPr="00514A44" w:rsidRDefault="00987CAF" w:rsidP="00987CA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(5.091.000)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90124" w14:textId="6EBB34CD" w:rsidR="00987CAF" w:rsidRPr="00514A44" w:rsidRDefault="00987CAF" w:rsidP="00987CA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27</w:t>
            </w:r>
          </w:p>
        </w:tc>
      </w:tr>
      <w:tr w:rsidR="00987CAF" w:rsidRPr="00514A44" w14:paraId="4C6AD6DF" w14:textId="77777777" w:rsidTr="002702EB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40616" w14:textId="77777777" w:rsidR="00987CAF" w:rsidRPr="00514A44" w:rsidRDefault="00987CAF" w:rsidP="00987CAF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A364F" w14:textId="77777777" w:rsidR="00987CAF" w:rsidRPr="00514A44" w:rsidRDefault="00987CAF" w:rsidP="00987CA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25701" w14:textId="77777777" w:rsidR="00987CAF" w:rsidRPr="00514A44" w:rsidRDefault="00987CAF" w:rsidP="00987CA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90A731" w14:textId="1EE581A1" w:rsidR="00987CAF" w:rsidRPr="00514A44" w:rsidRDefault="00987CAF" w:rsidP="00987CA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87CAF" w:rsidRPr="00514A44" w14:paraId="6B088909" w14:textId="77777777" w:rsidTr="002702EB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center"/>
            <w:hideMark/>
          </w:tcPr>
          <w:p w14:paraId="39C1FB35" w14:textId="77777777" w:rsidR="00987CAF" w:rsidRPr="00514A44" w:rsidRDefault="00987CAF" w:rsidP="00987C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Dobit prije oporezivanja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61CF040F" w14:textId="6195B6EB" w:rsidR="00987CAF" w:rsidRPr="00514A44" w:rsidRDefault="00987CAF" w:rsidP="00987CAF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color w:val="000000"/>
                <w:sz w:val="18"/>
                <w:szCs w:val="18"/>
              </w:rPr>
              <w:t>29.006.000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5DDB8B30" w14:textId="0DBBBF23" w:rsidR="00987CAF" w:rsidRPr="00514A44" w:rsidRDefault="00987CAF" w:rsidP="00987CAF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color w:val="000000"/>
                <w:sz w:val="18"/>
                <w:szCs w:val="18"/>
              </w:rPr>
              <w:t>30.865.000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vAlign w:val="center"/>
          </w:tcPr>
          <w:p w14:paraId="4A77A52D" w14:textId="01F67333" w:rsidR="00987CAF" w:rsidRPr="00514A44" w:rsidRDefault="00987CAF" w:rsidP="00987CAF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color w:val="000000"/>
                <w:sz w:val="18"/>
                <w:szCs w:val="18"/>
              </w:rPr>
              <w:t>106</w:t>
            </w:r>
          </w:p>
        </w:tc>
      </w:tr>
      <w:tr w:rsidR="00A21432" w:rsidRPr="00514A44" w14:paraId="16D5B0A2" w14:textId="77777777" w:rsidTr="00C12B52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E085E" w14:textId="77777777" w:rsidR="00A21432" w:rsidRPr="00514A44" w:rsidRDefault="00A21432" w:rsidP="00C12B52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Porez na dobit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13DFC8" w14:textId="77777777" w:rsidR="00A21432" w:rsidRPr="00514A44" w:rsidRDefault="00A21432" w:rsidP="00C12B5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7CC921" w14:textId="77777777" w:rsidR="00A21432" w:rsidRPr="00514A44" w:rsidRDefault="00A21432" w:rsidP="00C12B5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3CF026" w14:textId="77777777" w:rsidR="00A21432" w:rsidRPr="00514A44" w:rsidRDefault="00A21432" w:rsidP="00C12B5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sz w:val="18"/>
                <w:szCs w:val="18"/>
              </w:rPr>
              <w:t>-</w:t>
            </w:r>
          </w:p>
        </w:tc>
      </w:tr>
      <w:tr w:rsidR="00A21432" w:rsidRPr="00514A44" w14:paraId="53784D62" w14:textId="77777777" w:rsidTr="00C12B52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5EDA0" w14:textId="77777777" w:rsidR="00A21432" w:rsidRPr="00514A44" w:rsidRDefault="00A21432" w:rsidP="00C12B52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D9E47F" w14:textId="77777777" w:rsidR="00A21432" w:rsidRPr="00514A44" w:rsidRDefault="00A21432" w:rsidP="00C12B5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1FC004" w14:textId="77777777" w:rsidR="00A21432" w:rsidRPr="00514A44" w:rsidRDefault="00A21432" w:rsidP="00C12B5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16383D" w14:textId="77777777" w:rsidR="00A21432" w:rsidRPr="00514A44" w:rsidRDefault="00A21432" w:rsidP="00C12B5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87CAF" w:rsidRPr="00514A44" w14:paraId="70FB84C3" w14:textId="77777777" w:rsidTr="00A163FC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center"/>
            <w:hideMark/>
          </w:tcPr>
          <w:p w14:paraId="493D7E8B" w14:textId="77777777" w:rsidR="00987CAF" w:rsidRPr="00514A44" w:rsidRDefault="00987CAF" w:rsidP="00987C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Ukupan prihod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572C8172" w14:textId="160BE403" w:rsidR="00987CAF" w:rsidRPr="00514A44" w:rsidRDefault="00987CAF" w:rsidP="00987CAF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color w:val="000000"/>
                <w:sz w:val="18"/>
                <w:szCs w:val="18"/>
              </w:rPr>
              <w:t>102.308.000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616EE248" w14:textId="1509606B" w:rsidR="00987CAF" w:rsidRPr="00514A44" w:rsidRDefault="00987CAF" w:rsidP="00987CAF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color w:val="000000"/>
                <w:sz w:val="18"/>
                <w:szCs w:val="18"/>
              </w:rPr>
              <w:t>114.212.000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vAlign w:val="center"/>
          </w:tcPr>
          <w:p w14:paraId="75EBC543" w14:textId="4CBF6530" w:rsidR="00987CAF" w:rsidRPr="00514A44" w:rsidRDefault="00987CAF" w:rsidP="00987CAF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color w:val="000000"/>
                <w:sz w:val="18"/>
                <w:szCs w:val="18"/>
              </w:rPr>
              <w:t>112</w:t>
            </w:r>
          </w:p>
        </w:tc>
      </w:tr>
      <w:tr w:rsidR="00987CAF" w:rsidRPr="00514A44" w14:paraId="3EC32698" w14:textId="77777777" w:rsidTr="00A163FC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center"/>
            <w:hideMark/>
          </w:tcPr>
          <w:p w14:paraId="7C211C8E" w14:textId="77777777" w:rsidR="00987CAF" w:rsidRPr="00514A44" w:rsidRDefault="00987CAF" w:rsidP="00987C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Ukupan rashod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1D516D32" w14:textId="29ACEF64" w:rsidR="00987CAF" w:rsidRPr="00514A44" w:rsidRDefault="00987CAF" w:rsidP="00987CAF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color w:val="000000"/>
                <w:sz w:val="18"/>
                <w:szCs w:val="18"/>
              </w:rPr>
              <w:t>(73.302.000)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57D6E982" w14:textId="48BAB5EA" w:rsidR="00987CAF" w:rsidRPr="00514A44" w:rsidRDefault="00987CAF" w:rsidP="00987CAF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color w:val="000000"/>
                <w:sz w:val="18"/>
                <w:szCs w:val="18"/>
              </w:rPr>
              <w:t>(83.347.000)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vAlign w:val="center"/>
          </w:tcPr>
          <w:p w14:paraId="6AC911F7" w14:textId="06FAFDE0" w:rsidR="00987CAF" w:rsidRPr="00514A44" w:rsidRDefault="00987CAF" w:rsidP="00987CAF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color w:val="000000"/>
                <w:sz w:val="18"/>
                <w:szCs w:val="18"/>
              </w:rPr>
              <w:t>114</w:t>
            </w:r>
          </w:p>
        </w:tc>
      </w:tr>
      <w:tr w:rsidR="00A21432" w:rsidRPr="00514A44" w14:paraId="40F56C6B" w14:textId="77777777" w:rsidTr="00C12B52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C646B" w14:textId="77777777" w:rsidR="00A21432" w:rsidRPr="00514A44" w:rsidRDefault="00A21432" w:rsidP="00C12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5367C" w14:textId="77777777" w:rsidR="00A21432" w:rsidRPr="00514A44" w:rsidRDefault="00A21432" w:rsidP="00C12B5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8162D" w14:textId="77777777" w:rsidR="00A21432" w:rsidRPr="00514A44" w:rsidRDefault="00A21432" w:rsidP="00C12B52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57A22D" w14:textId="77777777" w:rsidR="00A21432" w:rsidRPr="00514A44" w:rsidRDefault="00A21432" w:rsidP="00C12B5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87CAF" w:rsidRPr="0030445F" w14:paraId="464FE2A6" w14:textId="77777777" w:rsidTr="000425BA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center"/>
            <w:hideMark/>
          </w:tcPr>
          <w:p w14:paraId="224D1712" w14:textId="77777777" w:rsidR="00987CAF" w:rsidRPr="00514A44" w:rsidRDefault="00987CAF" w:rsidP="00987C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 xml:space="preserve">Dobit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vAlign w:val="center"/>
          </w:tcPr>
          <w:p w14:paraId="027ACAFC" w14:textId="2D42A994" w:rsidR="00987CAF" w:rsidRPr="00514A44" w:rsidRDefault="00987CAF" w:rsidP="00987CAF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color w:val="000000"/>
                <w:sz w:val="18"/>
                <w:szCs w:val="18"/>
              </w:rPr>
              <w:t>29.006.000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vAlign w:val="center"/>
          </w:tcPr>
          <w:p w14:paraId="3BC9D6ED" w14:textId="7F541B60" w:rsidR="00987CAF" w:rsidRPr="00514A44" w:rsidRDefault="00987CAF" w:rsidP="00987CAF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color w:val="000000"/>
                <w:sz w:val="18"/>
                <w:szCs w:val="18"/>
              </w:rPr>
              <w:t>30.865.000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4947107A" w14:textId="3B42744A" w:rsidR="00987CAF" w:rsidRPr="00514A44" w:rsidRDefault="00987CAF" w:rsidP="00987CAF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color w:val="000000"/>
                <w:sz w:val="18"/>
                <w:szCs w:val="18"/>
              </w:rPr>
              <w:t>106</w:t>
            </w:r>
          </w:p>
        </w:tc>
      </w:tr>
    </w:tbl>
    <w:p w14:paraId="4558178B" w14:textId="77777777" w:rsidR="000F2E14" w:rsidRPr="00CF5E94" w:rsidRDefault="000F2E14" w:rsidP="006C5E2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/>
          <w:b/>
          <w:sz w:val="10"/>
          <w:szCs w:val="10"/>
          <w:highlight w:val="cyan"/>
        </w:rPr>
      </w:pPr>
    </w:p>
    <w:p w14:paraId="5F8C0909" w14:textId="77777777" w:rsidR="008F1DAD" w:rsidRPr="00CF5E94" w:rsidRDefault="008F1DAD" w:rsidP="006C5E2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/>
          <w:b/>
          <w:sz w:val="10"/>
          <w:szCs w:val="10"/>
          <w:highlight w:val="cyan"/>
        </w:rPr>
      </w:pPr>
    </w:p>
    <w:p w14:paraId="29BCB7D6" w14:textId="77777777" w:rsidR="000C0AC8" w:rsidRPr="00CF5E94" w:rsidRDefault="000C0AC8" w:rsidP="000C0AC8">
      <w:pPr>
        <w:pStyle w:val="ListParagraph"/>
        <w:tabs>
          <w:tab w:val="left" w:pos="-720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bCs/>
          <w:sz w:val="24"/>
          <w:szCs w:val="24"/>
          <w:highlight w:val="cyan"/>
        </w:rPr>
        <w:sectPr w:rsidR="000C0AC8" w:rsidRPr="00CF5E94" w:rsidSect="00E8484F">
          <w:footerReference w:type="default" r:id="rId10"/>
          <w:pgSz w:w="11906" w:h="16838"/>
          <w:pgMar w:top="1134" w:right="1417" w:bottom="1134" w:left="1417" w:header="708" w:footer="708" w:gutter="0"/>
          <w:cols w:space="708"/>
          <w:docGrid w:linePitch="360"/>
        </w:sectPr>
      </w:pPr>
    </w:p>
    <w:p w14:paraId="47E55978" w14:textId="199D50F8" w:rsidR="000C0AC8" w:rsidRPr="005504D6" w:rsidRDefault="000C0AC8" w:rsidP="00FA6EAD">
      <w:pPr>
        <w:pStyle w:val="ListParagraph"/>
        <w:tabs>
          <w:tab w:val="left" w:pos="-720"/>
          <w:tab w:val="left" w:pos="567"/>
        </w:tabs>
        <w:suppressAutoHyphens/>
        <w:spacing w:after="0" w:line="240" w:lineRule="auto"/>
        <w:ind w:left="426" w:hanging="142"/>
        <w:jc w:val="both"/>
        <w:rPr>
          <w:rFonts w:eastAsia="Times New Roman" w:cs="Arial"/>
          <w:b/>
          <w:bCs/>
          <w:sz w:val="20"/>
        </w:rPr>
      </w:pPr>
      <w:r w:rsidRPr="005504D6">
        <w:rPr>
          <w:rFonts w:eastAsia="Times New Roman" w:cs="Arial"/>
          <w:b/>
          <w:bCs/>
          <w:sz w:val="20"/>
        </w:rPr>
        <w:lastRenderedPageBreak/>
        <w:t>b)</w:t>
      </w:r>
      <w:r w:rsidR="00FA6EAD" w:rsidRPr="005504D6">
        <w:rPr>
          <w:rFonts w:eastAsia="Times New Roman" w:cs="Arial"/>
          <w:b/>
          <w:bCs/>
          <w:sz w:val="20"/>
        </w:rPr>
        <w:tab/>
      </w:r>
      <w:r w:rsidRPr="005504D6">
        <w:rPr>
          <w:rFonts w:eastAsia="Times New Roman" w:cs="Arial"/>
          <w:b/>
          <w:bCs/>
          <w:sz w:val="20"/>
        </w:rPr>
        <w:t>Plan Izvještaja o Financijskom p</w:t>
      </w:r>
      <w:r w:rsidR="00397645" w:rsidRPr="005504D6">
        <w:rPr>
          <w:rFonts w:eastAsia="Times New Roman" w:cs="Arial"/>
          <w:b/>
          <w:bCs/>
          <w:sz w:val="20"/>
        </w:rPr>
        <w:t>oložaju HBOR-a na dan 31.12.20</w:t>
      </w:r>
      <w:r w:rsidR="001242BC" w:rsidRPr="005504D6">
        <w:rPr>
          <w:rFonts w:eastAsia="Times New Roman" w:cs="Arial"/>
          <w:b/>
          <w:bCs/>
          <w:sz w:val="20"/>
        </w:rPr>
        <w:t>2</w:t>
      </w:r>
      <w:r w:rsidR="00007CB4" w:rsidRPr="005504D6">
        <w:rPr>
          <w:rFonts w:eastAsia="Times New Roman" w:cs="Arial"/>
          <w:b/>
          <w:bCs/>
          <w:sz w:val="20"/>
        </w:rPr>
        <w:t>3</w:t>
      </w:r>
      <w:r w:rsidRPr="005504D6">
        <w:rPr>
          <w:rFonts w:eastAsia="Times New Roman" w:cs="Arial"/>
          <w:b/>
          <w:bCs/>
          <w:sz w:val="20"/>
        </w:rPr>
        <w:t>. godine i trendovi kretanja:</w:t>
      </w:r>
    </w:p>
    <w:p w14:paraId="44A62A6F" w14:textId="77777777" w:rsidR="00B442D6" w:rsidRPr="00A02EF2" w:rsidRDefault="00B442D6" w:rsidP="006C5E2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/>
          <w:b/>
          <w:sz w:val="24"/>
          <w:szCs w:val="24"/>
          <w:highlight w:val="cyan"/>
        </w:rPr>
      </w:pPr>
    </w:p>
    <w:tbl>
      <w:tblPr>
        <w:tblW w:w="4750" w:type="pct"/>
        <w:jc w:val="center"/>
        <w:tblLook w:val="04A0" w:firstRow="1" w:lastRow="0" w:firstColumn="1" w:lastColumn="0" w:noHBand="0" w:noVBand="1"/>
      </w:tblPr>
      <w:tblGrid>
        <w:gridCol w:w="4474"/>
        <w:gridCol w:w="1368"/>
        <w:gridCol w:w="1368"/>
        <w:gridCol w:w="1408"/>
      </w:tblGrid>
      <w:tr w:rsidR="00A21432" w:rsidRPr="00514A44" w14:paraId="730B3080" w14:textId="77777777" w:rsidTr="004A4095">
        <w:trPr>
          <w:trHeight w:val="300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9FF12" w14:textId="77777777" w:rsidR="00A21432" w:rsidRPr="00514A44" w:rsidRDefault="00A21432" w:rsidP="00C12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IZVJEŠTAJ O FINANCIJSKOM POLOŽAJU SA STANJEM NA 31.12.</w:t>
            </w:r>
          </w:p>
        </w:tc>
      </w:tr>
      <w:tr w:rsidR="00A21432" w:rsidRPr="00514A44" w14:paraId="1CD78369" w14:textId="77777777" w:rsidTr="004A4095">
        <w:trPr>
          <w:trHeight w:val="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08BF9" w14:textId="77777777" w:rsidR="00A21432" w:rsidRPr="00514A44" w:rsidRDefault="00A21432" w:rsidP="00C12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69179" w14:textId="77777777" w:rsidR="00A21432" w:rsidRPr="00514A44" w:rsidRDefault="00A21432" w:rsidP="00C12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</w:tr>
      <w:tr w:rsidR="00A21432" w:rsidRPr="00514A44" w14:paraId="24A69268" w14:textId="77777777" w:rsidTr="004A409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90C51" w14:textId="77777777" w:rsidR="00A21432" w:rsidRPr="00514A44" w:rsidRDefault="00A21432" w:rsidP="00C12B5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A499B" w14:textId="77777777" w:rsidR="00A21432" w:rsidRPr="00514A44" w:rsidRDefault="00A21432" w:rsidP="00C12B52">
            <w:pPr>
              <w:spacing w:after="0" w:line="240" w:lineRule="auto"/>
              <w:jc w:val="right"/>
              <w:rPr>
                <w:rFonts w:eastAsia="Times New Roman" w:cs="Arial"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Cs/>
                <w:sz w:val="18"/>
                <w:szCs w:val="18"/>
              </w:rPr>
              <w:t xml:space="preserve"> (u EUR, indeks)</w:t>
            </w:r>
          </w:p>
        </w:tc>
      </w:tr>
      <w:tr w:rsidR="00A21432" w:rsidRPr="00514A44" w14:paraId="0A5AAC86" w14:textId="77777777" w:rsidTr="004A4095">
        <w:trPr>
          <w:trHeight w:val="62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4B641E" w14:textId="77777777" w:rsidR="00A21432" w:rsidRPr="00514A44" w:rsidRDefault="00A21432" w:rsidP="00C12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C9F8D" w14:textId="77777777" w:rsidR="00A21432" w:rsidRPr="00514A44" w:rsidRDefault="00A21432" w:rsidP="00C12B52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sz w:val="18"/>
                <w:szCs w:val="18"/>
              </w:rPr>
              <w:t>Plan</w:t>
            </w:r>
          </w:p>
          <w:p w14:paraId="0E91B719" w14:textId="42BB1CF3" w:rsidR="00A21432" w:rsidRPr="00514A44" w:rsidRDefault="00A21432" w:rsidP="00C12B52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EA2E42" w:rsidRPr="00514A44">
              <w:rPr>
                <w:rFonts w:cs="Arial"/>
                <w:b/>
                <w:bCs/>
                <w:sz w:val="18"/>
                <w:szCs w:val="18"/>
              </w:rPr>
              <w:t>3</w:t>
            </w:r>
            <w:r w:rsidRPr="00514A44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29E984" w14:textId="77777777" w:rsidR="00A21432" w:rsidRPr="00514A44" w:rsidRDefault="00A21432" w:rsidP="00C12B52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sz w:val="18"/>
                <w:szCs w:val="18"/>
              </w:rPr>
              <w:t xml:space="preserve">Plan za </w:t>
            </w:r>
          </w:p>
          <w:p w14:paraId="6DF01F9A" w14:textId="35C9E16C" w:rsidR="00A21432" w:rsidRPr="00514A44" w:rsidRDefault="00A21432" w:rsidP="00C12B52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EA2E42" w:rsidRPr="00514A44">
              <w:rPr>
                <w:rFonts w:cs="Arial"/>
                <w:b/>
                <w:bCs/>
                <w:sz w:val="18"/>
                <w:szCs w:val="18"/>
              </w:rPr>
              <w:t>4</w:t>
            </w:r>
            <w:r w:rsidRPr="00514A44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94F0F" w14:textId="63F1668A" w:rsidR="00A21432" w:rsidRPr="00514A44" w:rsidRDefault="00A21432" w:rsidP="00C12B52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sz w:val="18"/>
                <w:szCs w:val="18"/>
              </w:rPr>
              <w:t xml:space="preserve">Indeks </w:t>
            </w:r>
            <w:r w:rsidRPr="00514A44">
              <w:rPr>
                <w:rFonts w:cs="Arial"/>
                <w:b/>
                <w:bCs/>
                <w:sz w:val="18"/>
                <w:szCs w:val="18"/>
              </w:rPr>
              <w:br/>
              <w:t>Plan 202</w:t>
            </w:r>
            <w:r w:rsidR="00EA2E42" w:rsidRPr="00514A44">
              <w:rPr>
                <w:rFonts w:cs="Arial"/>
                <w:b/>
                <w:bCs/>
                <w:sz w:val="18"/>
                <w:szCs w:val="18"/>
              </w:rPr>
              <w:t>4</w:t>
            </w:r>
            <w:r w:rsidRPr="00514A44">
              <w:rPr>
                <w:rFonts w:cs="Arial"/>
                <w:b/>
                <w:bCs/>
                <w:sz w:val="18"/>
                <w:szCs w:val="18"/>
              </w:rPr>
              <w:t>./ 202</w:t>
            </w:r>
            <w:r w:rsidR="00EA2E42" w:rsidRPr="00514A44">
              <w:rPr>
                <w:rFonts w:cs="Arial"/>
                <w:b/>
                <w:bCs/>
                <w:sz w:val="18"/>
                <w:szCs w:val="18"/>
              </w:rPr>
              <w:t>3</w:t>
            </w:r>
            <w:r w:rsidRPr="00514A44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</w:tr>
      <w:tr w:rsidR="00A21432" w:rsidRPr="00514A44" w14:paraId="5C5E9D2E" w14:textId="77777777" w:rsidTr="004A4095">
        <w:trPr>
          <w:trHeight w:val="1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44546A"/>
            <w:vAlign w:val="bottom"/>
            <w:hideMark/>
          </w:tcPr>
          <w:p w14:paraId="53993B63" w14:textId="77777777" w:rsidR="00A21432" w:rsidRPr="00514A44" w:rsidRDefault="00A21432" w:rsidP="00C12B5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  <w:t>IMOVINA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  <w:hideMark/>
          </w:tcPr>
          <w:p w14:paraId="38883356" w14:textId="77777777" w:rsidR="00A21432" w:rsidRPr="00514A44" w:rsidRDefault="00A21432" w:rsidP="00C12B5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  <w:hideMark/>
          </w:tcPr>
          <w:p w14:paraId="5C263312" w14:textId="77777777" w:rsidR="00A21432" w:rsidRPr="00514A44" w:rsidRDefault="00A21432" w:rsidP="00C12B5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14:paraId="408228A8" w14:textId="77777777" w:rsidR="00A21432" w:rsidRPr="00514A44" w:rsidRDefault="00A21432" w:rsidP="00C12B5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4A4095" w:rsidRPr="00514A44" w14:paraId="10AFE896" w14:textId="77777777" w:rsidTr="004A4095">
        <w:trPr>
          <w:trHeight w:val="9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0D9FC" w14:textId="77777777" w:rsidR="004A4095" w:rsidRPr="00514A44" w:rsidRDefault="004A4095" w:rsidP="004A409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4A44">
              <w:rPr>
                <w:rFonts w:eastAsia="Times New Roman" w:cs="Arial"/>
                <w:color w:val="000000"/>
                <w:sz w:val="18"/>
                <w:szCs w:val="18"/>
              </w:rPr>
              <w:t>Novčana sredstva i računi kod banaka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75E14" w14:textId="0F67936B" w:rsidR="004A4095" w:rsidRPr="00514A44" w:rsidRDefault="004A4095" w:rsidP="004A409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56.967.000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114AF" w14:textId="7645F3C0" w:rsidR="004A4095" w:rsidRPr="00514A44" w:rsidRDefault="004A4095" w:rsidP="004A409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66.447.000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35B3C" w14:textId="78E0B5FA" w:rsidR="004A4095" w:rsidRPr="00514A44" w:rsidRDefault="004A4095" w:rsidP="004A409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117</w:t>
            </w:r>
          </w:p>
        </w:tc>
      </w:tr>
      <w:tr w:rsidR="004A4095" w:rsidRPr="00514A44" w14:paraId="7DC0F979" w14:textId="77777777" w:rsidTr="004A4095">
        <w:trPr>
          <w:trHeight w:val="1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A8986" w14:textId="77777777" w:rsidR="004A4095" w:rsidRPr="00514A44" w:rsidRDefault="004A4095" w:rsidP="004A409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Depoziti kod drugih banaka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ABB03" w14:textId="5116A734" w:rsidR="004A4095" w:rsidRPr="00514A44" w:rsidRDefault="004A4095" w:rsidP="004A409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103.317.000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53A0F" w14:textId="01FD091D" w:rsidR="004A4095" w:rsidRPr="00514A44" w:rsidRDefault="004A4095" w:rsidP="004A409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89.853.000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10E5E" w14:textId="4BDC0161" w:rsidR="004A4095" w:rsidRPr="00514A44" w:rsidRDefault="00527025" w:rsidP="0052702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87</w:t>
            </w:r>
          </w:p>
        </w:tc>
      </w:tr>
      <w:tr w:rsidR="004A4095" w:rsidRPr="00514A44" w14:paraId="0F4760F3" w14:textId="77777777" w:rsidTr="004A4095">
        <w:trPr>
          <w:trHeight w:val="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F822D" w14:textId="77777777" w:rsidR="004A4095" w:rsidRPr="00514A44" w:rsidRDefault="004A4095" w:rsidP="004A409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Krediti financijskim institucijama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1F5DB" w14:textId="66A69264" w:rsidR="004A4095" w:rsidRPr="00514A44" w:rsidRDefault="004A4095" w:rsidP="004A409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1.171.238.000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18FA0" w14:textId="1AE4D0FD" w:rsidR="004A4095" w:rsidRPr="00514A44" w:rsidRDefault="004A4095" w:rsidP="004A409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1.227.447.000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C864" w14:textId="3C2C1351" w:rsidR="004A4095" w:rsidRPr="00514A44" w:rsidRDefault="004A4095" w:rsidP="004A409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105</w:t>
            </w:r>
          </w:p>
        </w:tc>
      </w:tr>
      <w:tr w:rsidR="004A4095" w:rsidRPr="00514A44" w14:paraId="63A36960" w14:textId="77777777" w:rsidTr="004A4095">
        <w:trPr>
          <w:trHeight w:val="17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EFBBB" w14:textId="77777777" w:rsidR="004A4095" w:rsidRPr="00514A44" w:rsidRDefault="004A4095" w:rsidP="004A409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Krediti ostalim korisnicima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C0A48" w14:textId="1DEABB6C" w:rsidR="004A4095" w:rsidRPr="00514A44" w:rsidRDefault="004A4095" w:rsidP="004A409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2.447.905.000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31B5C" w14:textId="0D93B007" w:rsidR="004A4095" w:rsidRPr="00514A44" w:rsidRDefault="004A4095" w:rsidP="004A409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2.427.568.000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4D82E6" w14:textId="7B4F0309" w:rsidR="004A4095" w:rsidRPr="00514A44" w:rsidRDefault="004A4095" w:rsidP="004A409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99</w:t>
            </w:r>
          </w:p>
        </w:tc>
      </w:tr>
      <w:tr w:rsidR="004A4095" w:rsidRPr="00514A44" w14:paraId="346D85FC" w14:textId="77777777" w:rsidTr="004A4095">
        <w:trPr>
          <w:trHeight w:val="3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E6E15" w14:textId="77777777" w:rsidR="004A4095" w:rsidRPr="00514A44" w:rsidRDefault="004A4095" w:rsidP="004A409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Financijska imovina po fer vrijednosti kroz dobit ili gubitak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1C5D0" w14:textId="75699114" w:rsidR="004A4095" w:rsidRPr="00514A44" w:rsidRDefault="004A4095" w:rsidP="004A409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57.086.000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EA084" w14:textId="1D007D34" w:rsidR="004A4095" w:rsidRPr="00514A44" w:rsidRDefault="004A4095" w:rsidP="004A409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50.964.000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0CDA2" w14:textId="65751E92" w:rsidR="004A4095" w:rsidRPr="00514A44" w:rsidRDefault="004A4095" w:rsidP="004A409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89</w:t>
            </w:r>
          </w:p>
        </w:tc>
      </w:tr>
      <w:tr w:rsidR="004A4095" w:rsidRPr="00514A44" w14:paraId="69F07D79" w14:textId="77777777" w:rsidTr="004A4095">
        <w:trPr>
          <w:trHeight w:val="40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9EEFC" w14:textId="77777777" w:rsidR="004A4095" w:rsidRPr="00514A44" w:rsidRDefault="004A4095" w:rsidP="004A409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Financijska imovina po fer vrijednosti kroz ostalu sveobuhvatnu dobit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21C9A" w14:textId="23E6C25B" w:rsidR="004A4095" w:rsidRPr="00514A44" w:rsidRDefault="004A4095" w:rsidP="004A409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268.926.000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01EBC" w14:textId="2B03C53B" w:rsidR="004A4095" w:rsidRPr="00514A44" w:rsidRDefault="004A4095" w:rsidP="004A409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242.998.000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7BD28" w14:textId="33210F0D" w:rsidR="004A4095" w:rsidRPr="00514A44" w:rsidRDefault="004A4095" w:rsidP="004A409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90</w:t>
            </w:r>
          </w:p>
        </w:tc>
      </w:tr>
      <w:tr w:rsidR="004A4095" w:rsidRPr="00514A44" w14:paraId="68D1E6D1" w14:textId="77777777" w:rsidTr="004A4095">
        <w:trPr>
          <w:trHeight w:val="1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A71E9" w14:textId="77777777" w:rsidR="004A4095" w:rsidRPr="00514A44" w:rsidRDefault="004A4095" w:rsidP="004A409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Ulaganja u ovisna društva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0C127" w14:textId="5F6ACDA3" w:rsidR="004A4095" w:rsidRPr="00514A44" w:rsidRDefault="004A4095" w:rsidP="004A409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7.449.000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EAFEA" w14:textId="3C42B21D" w:rsidR="004A4095" w:rsidRPr="00514A44" w:rsidRDefault="004A4095" w:rsidP="004A409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7.449.000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F6711" w14:textId="593224AF" w:rsidR="004A4095" w:rsidRPr="00514A44" w:rsidRDefault="004A4095" w:rsidP="004A409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</w:tr>
      <w:tr w:rsidR="004A4095" w:rsidRPr="00514A44" w14:paraId="09D6FE45" w14:textId="77777777" w:rsidTr="004A4095">
        <w:trPr>
          <w:trHeight w:val="1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E1E96" w14:textId="77777777" w:rsidR="004A4095" w:rsidRPr="00514A44" w:rsidRDefault="004A4095" w:rsidP="004A409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Nekretnine, postrojenja i oprema i nematerijalna imovina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81F5C" w14:textId="35DF0A03" w:rsidR="004A4095" w:rsidRPr="00514A44" w:rsidRDefault="004A4095" w:rsidP="004A409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5.257.000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7CF1C" w14:textId="53CB3DC5" w:rsidR="004A4095" w:rsidRPr="00514A44" w:rsidRDefault="004A4095" w:rsidP="004A409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8.846.000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131F9" w14:textId="20FCA400" w:rsidR="004A4095" w:rsidRPr="00514A44" w:rsidRDefault="004A4095" w:rsidP="004A409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168</w:t>
            </w:r>
          </w:p>
        </w:tc>
      </w:tr>
      <w:tr w:rsidR="004A4095" w:rsidRPr="00514A44" w14:paraId="05C904AB" w14:textId="77777777" w:rsidTr="004A4095">
        <w:trPr>
          <w:trHeight w:val="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54442" w14:textId="77777777" w:rsidR="004A4095" w:rsidRPr="00514A44" w:rsidRDefault="004A4095" w:rsidP="004A409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Preuzeta imovina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84B60" w14:textId="1DE369C3" w:rsidR="004A4095" w:rsidRPr="00514A44" w:rsidRDefault="004A4095" w:rsidP="004A409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2.243.000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092F2" w14:textId="69F76DD9" w:rsidR="004A4095" w:rsidRPr="00514A44" w:rsidRDefault="004A4095" w:rsidP="004A409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1.677.000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0510" w14:textId="6BB76C19" w:rsidR="004A4095" w:rsidRPr="00514A44" w:rsidRDefault="004A4095" w:rsidP="004A409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75</w:t>
            </w:r>
          </w:p>
        </w:tc>
      </w:tr>
      <w:tr w:rsidR="004A4095" w:rsidRPr="00514A44" w14:paraId="59533294" w14:textId="77777777" w:rsidTr="004A4095">
        <w:trPr>
          <w:trHeight w:val="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4BD09" w14:textId="77777777" w:rsidR="004A4095" w:rsidRPr="00514A44" w:rsidRDefault="004A4095" w:rsidP="004A409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Ostala imovina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4BC7E" w14:textId="7BAC0F44" w:rsidR="004A4095" w:rsidRPr="00514A44" w:rsidRDefault="004A4095" w:rsidP="004A409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5.740.000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FE66C" w14:textId="3670C6D2" w:rsidR="004A4095" w:rsidRPr="00514A44" w:rsidRDefault="004A4095" w:rsidP="004A409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14.193.000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77D00" w14:textId="492522C1" w:rsidR="004A4095" w:rsidRPr="00514A44" w:rsidRDefault="004A4095" w:rsidP="004A409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247</w:t>
            </w:r>
          </w:p>
        </w:tc>
      </w:tr>
      <w:tr w:rsidR="004A4095" w:rsidRPr="00514A44" w14:paraId="5AFA035A" w14:textId="77777777" w:rsidTr="0017219C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67C83FD7" w14:textId="77777777" w:rsidR="004A4095" w:rsidRPr="00514A44" w:rsidRDefault="004A4095" w:rsidP="004A4095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sz w:val="18"/>
                <w:szCs w:val="18"/>
              </w:rPr>
              <w:t>Ukupna imovina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0846006A" w14:textId="643975AA" w:rsidR="004A4095" w:rsidRPr="00514A44" w:rsidRDefault="004A4095" w:rsidP="004A4095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color w:val="000000"/>
                <w:sz w:val="18"/>
                <w:szCs w:val="18"/>
              </w:rPr>
              <w:t>4.126.128.000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008A85CE" w14:textId="0FD163E7" w:rsidR="004A4095" w:rsidRPr="00514A44" w:rsidRDefault="004A4095" w:rsidP="004A4095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color w:val="000000"/>
                <w:sz w:val="18"/>
                <w:szCs w:val="18"/>
              </w:rPr>
              <w:t>4.137.442.000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5D3BD227" w14:textId="62D55993" w:rsidR="004A4095" w:rsidRPr="00514A44" w:rsidRDefault="004A4095" w:rsidP="004A409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A21432" w:rsidRPr="00514A44" w14:paraId="247E0F25" w14:textId="77777777" w:rsidTr="004A4095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4546A"/>
            <w:vAlign w:val="bottom"/>
            <w:hideMark/>
          </w:tcPr>
          <w:p w14:paraId="445F6930" w14:textId="77777777" w:rsidR="00A21432" w:rsidRPr="00514A44" w:rsidRDefault="00A2143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  <w:t>Obveze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noWrap/>
            <w:vAlign w:val="bottom"/>
          </w:tcPr>
          <w:p w14:paraId="1B5339F2" w14:textId="77777777" w:rsidR="00A21432" w:rsidRPr="00514A44" w:rsidRDefault="00A2143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</w:tcPr>
          <w:p w14:paraId="62E2B4C8" w14:textId="77777777" w:rsidR="00A21432" w:rsidRPr="00514A44" w:rsidRDefault="00A21432">
            <w:pPr>
              <w:spacing w:after="0" w:line="240" w:lineRule="auto"/>
              <w:jc w:val="right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4546A"/>
            <w:noWrap/>
            <w:vAlign w:val="bottom"/>
          </w:tcPr>
          <w:p w14:paraId="2E3E3B84" w14:textId="77777777" w:rsidR="00A21432" w:rsidRPr="00514A44" w:rsidRDefault="00A21432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A4095" w:rsidRPr="00514A44" w14:paraId="7696D4FE" w14:textId="77777777" w:rsidTr="004A4095">
        <w:trPr>
          <w:trHeight w:val="17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7D044" w14:textId="77777777" w:rsidR="004A4095" w:rsidRPr="00514A44" w:rsidRDefault="004A4095" w:rsidP="004A409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Obveze po depozitima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D81AB" w14:textId="2A9FB123" w:rsidR="004A4095" w:rsidRPr="00514A44" w:rsidRDefault="004A4095" w:rsidP="004A409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241.205.000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4431B" w14:textId="091ACF61" w:rsidR="004A4095" w:rsidRPr="00514A44" w:rsidRDefault="004A4095" w:rsidP="004A409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172.994.000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F2F50" w14:textId="5FC93D2E" w:rsidR="004A4095" w:rsidRPr="00514A44" w:rsidRDefault="004A4095" w:rsidP="004A4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72</w:t>
            </w:r>
          </w:p>
        </w:tc>
      </w:tr>
      <w:tr w:rsidR="004A4095" w:rsidRPr="00514A44" w14:paraId="38B3892B" w14:textId="77777777" w:rsidTr="004A4095">
        <w:trPr>
          <w:trHeight w:val="11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618AD" w14:textId="77777777" w:rsidR="004A4095" w:rsidRPr="00514A44" w:rsidRDefault="004A4095" w:rsidP="004A409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Obveze po kreditima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D56D3" w14:textId="296C3F52" w:rsidR="004A4095" w:rsidRPr="00514A44" w:rsidRDefault="004A4095" w:rsidP="004A409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2.312.165.000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8BC6A" w14:textId="1B337720" w:rsidR="004A4095" w:rsidRPr="00514A44" w:rsidRDefault="004A4095" w:rsidP="004A409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2.346.380.000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0E73B" w14:textId="303AFE92" w:rsidR="004A4095" w:rsidRPr="00514A44" w:rsidRDefault="004A4095" w:rsidP="004A4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101</w:t>
            </w:r>
          </w:p>
        </w:tc>
      </w:tr>
      <w:tr w:rsidR="004A4095" w:rsidRPr="00514A44" w14:paraId="66817745" w14:textId="77777777" w:rsidTr="004A4095">
        <w:trPr>
          <w:trHeight w:val="24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8C3B3" w14:textId="6A540DED" w:rsidR="004A4095" w:rsidRPr="00514A44" w:rsidRDefault="004A4095" w:rsidP="004A409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Ostale obveze i Rezerviranja za garancije, preuzete i ostale obveze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859C3" w14:textId="0A3740D2" w:rsidR="004A4095" w:rsidRPr="00514A44" w:rsidRDefault="004A4095" w:rsidP="004A409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119.447.000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83601" w14:textId="1AB4534C" w:rsidR="004A4095" w:rsidRPr="00514A44" w:rsidRDefault="004A4095" w:rsidP="004A409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130.892.000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C9CA0" w14:textId="0D83B33E" w:rsidR="004A4095" w:rsidRPr="00514A44" w:rsidRDefault="004A4095" w:rsidP="004A409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</w:tr>
      <w:tr w:rsidR="004A4095" w:rsidRPr="00514A44" w14:paraId="3FC47F87" w14:textId="77777777" w:rsidTr="004A409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0FC98768" w14:textId="77777777" w:rsidR="004A4095" w:rsidRPr="00514A44" w:rsidRDefault="004A4095" w:rsidP="004A4095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sz w:val="18"/>
                <w:szCs w:val="18"/>
              </w:rPr>
              <w:t>Ukupne obveze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415C657E" w14:textId="1C496BC9" w:rsidR="004A4095" w:rsidRPr="00514A44" w:rsidRDefault="004A4095" w:rsidP="004A4095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sz w:val="18"/>
                <w:szCs w:val="18"/>
              </w:rPr>
              <w:t>2.672.817.000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10AE5BE8" w14:textId="1358C87E" w:rsidR="004A4095" w:rsidRPr="00514A44" w:rsidRDefault="004A4095" w:rsidP="004A4095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sz w:val="18"/>
                <w:szCs w:val="18"/>
              </w:rPr>
              <w:t>2.650.266.000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0C08918D" w14:textId="1C40D872" w:rsidR="004A4095" w:rsidRPr="00514A44" w:rsidRDefault="004A4095" w:rsidP="004A4095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sz w:val="18"/>
                <w:szCs w:val="18"/>
              </w:rPr>
              <w:t>99</w:t>
            </w:r>
          </w:p>
        </w:tc>
      </w:tr>
      <w:tr w:rsidR="00A21432" w:rsidRPr="00514A44" w14:paraId="1C9BE76F" w14:textId="77777777" w:rsidTr="004A4095">
        <w:trPr>
          <w:trHeight w:val="1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D2572" w14:textId="77777777" w:rsidR="00A21432" w:rsidRPr="00514A44" w:rsidRDefault="00A21432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28A96" w14:textId="77777777" w:rsidR="00A21432" w:rsidRPr="00514A44" w:rsidRDefault="00A2143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B8638" w14:textId="77777777" w:rsidR="00A21432" w:rsidRPr="00514A44" w:rsidRDefault="00A2143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8D122" w14:textId="77777777" w:rsidR="00A21432" w:rsidRPr="00514A44" w:rsidRDefault="00A214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21432" w:rsidRPr="00514A44" w14:paraId="11D05114" w14:textId="77777777" w:rsidTr="004A4095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44546A"/>
            <w:vAlign w:val="bottom"/>
            <w:hideMark/>
          </w:tcPr>
          <w:p w14:paraId="240A5E40" w14:textId="46F0B2B4" w:rsidR="00A21432" w:rsidRPr="00514A44" w:rsidRDefault="00A2143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  <w:t>Kapital</w:t>
            </w:r>
            <w:r w:rsidR="005504D6" w:rsidRPr="00514A44"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  <w:t xml:space="preserve"> i rezerve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</w:tcPr>
          <w:p w14:paraId="3CCE7752" w14:textId="77777777" w:rsidR="00A21432" w:rsidRPr="00514A44" w:rsidRDefault="00A2143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</w:tcPr>
          <w:p w14:paraId="57C455DC" w14:textId="77777777" w:rsidR="00A21432" w:rsidRPr="00514A44" w:rsidRDefault="00A21432">
            <w:pPr>
              <w:spacing w:after="0" w:line="240" w:lineRule="auto"/>
              <w:jc w:val="right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4546A"/>
            <w:noWrap/>
            <w:vAlign w:val="bottom"/>
          </w:tcPr>
          <w:p w14:paraId="221EC74B" w14:textId="77777777" w:rsidR="00A21432" w:rsidRPr="00514A44" w:rsidRDefault="00A21432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A4095" w:rsidRPr="00514A44" w14:paraId="4E254B56" w14:textId="77777777" w:rsidTr="004A4095">
        <w:trPr>
          <w:trHeight w:val="1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33504" w14:textId="77777777" w:rsidR="004A4095" w:rsidRPr="00514A44" w:rsidRDefault="004A4095" w:rsidP="004A409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Osnivački kapital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5E8F7" w14:textId="2DBAF208" w:rsidR="004A4095" w:rsidRPr="00514A44" w:rsidRDefault="004A4095" w:rsidP="004A409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958.286.000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73826" w14:textId="7BAC7B07" w:rsidR="004A4095" w:rsidRPr="00514A44" w:rsidRDefault="004A4095" w:rsidP="004A409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961.286.000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203B8" w14:textId="387E8035" w:rsidR="004A4095" w:rsidRPr="00514A44" w:rsidRDefault="004A4095" w:rsidP="004A409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</w:tr>
      <w:tr w:rsidR="004A4095" w:rsidRPr="00514A44" w14:paraId="5E99DD46" w14:textId="77777777" w:rsidTr="004A4095">
        <w:trPr>
          <w:trHeight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80381" w14:textId="77777777" w:rsidR="004A4095" w:rsidRPr="00514A44" w:rsidRDefault="004A4095" w:rsidP="004A409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Zadržana dobit i rezerve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B2423" w14:textId="467BD5EF" w:rsidR="004A4095" w:rsidRPr="00514A44" w:rsidRDefault="004A4095" w:rsidP="004A409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468.113.000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61600" w14:textId="65E40F66" w:rsidR="004A4095" w:rsidRPr="00514A44" w:rsidRDefault="004A4095" w:rsidP="004A409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497.119.000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6DC30" w14:textId="34ACC04D" w:rsidR="004A4095" w:rsidRPr="00514A44" w:rsidRDefault="004A4095" w:rsidP="004A409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106</w:t>
            </w:r>
          </w:p>
        </w:tc>
      </w:tr>
      <w:tr w:rsidR="004A4095" w:rsidRPr="00514A44" w14:paraId="7A235532" w14:textId="77777777" w:rsidTr="004A4095">
        <w:trPr>
          <w:trHeight w:val="1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ABD57" w14:textId="77777777" w:rsidR="004A4095" w:rsidRPr="00514A44" w:rsidRDefault="004A4095" w:rsidP="004A409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Ostale rezerve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E9690" w14:textId="0E97AF19" w:rsidR="004A4095" w:rsidRPr="00514A44" w:rsidRDefault="0017219C" w:rsidP="004A409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(</w:t>
            </w:r>
            <w:r w:rsidR="004A4095" w:rsidRPr="00514A44">
              <w:rPr>
                <w:rFonts w:cs="Arial"/>
                <w:color w:val="000000"/>
                <w:sz w:val="18"/>
                <w:szCs w:val="18"/>
              </w:rPr>
              <w:t>3.731.000</w:t>
            </w:r>
            <w:r w:rsidRPr="00514A44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2D1A1" w14:textId="518ABBFE" w:rsidR="004A4095" w:rsidRPr="00514A44" w:rsidRDefault="0017219C" w:rsidP="004A409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(</w:t>
            </w:r>
            <w:r w:rsidR="004A4095" w:rsidRPr="00514A44">
              <w:rPr>
                <w:rFonts w:cs="Arial"/>
                <w:color w:val="000000"/>
                <w:sz w:val="18"/>
                <w:szCs w:val="18"/>
              </w:rPr>
              <w:t>3.731.000</w:t>
            </w:r>
            <w:r w:rsidRPr="00514A44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E0D3A0" w14:textId="03D628F4" w:rsidR="004A4095" w:rsidRPr="00514A44" w:rsidRDefault="004A4095" w:rsidP="004A409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</w:tr>
      <w:tr w:rsidR="004A4095" w:rsidRPr="00514A44" w14:paraId="46A9173B" w14:textId="77777777" w:rsidTr="004A4095">
        <w:trPr>
          <w:trHeight w:val="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86895" w14:textId="2B1A2A80" w:rsidR="004A4095" w:rsidRPr="00514A44" w:rsidRDefault="004A4095" w:rsidP="004A409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Dobit tekuće godine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0FB10" w14:textId="451DD127" w:rsidR="004A4095" w:rsidRPr="00514A44" w:rsidRDefault="004A4095" w:rsidP="004A409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29.006.000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C73F8" w14:textId="6F36132C" w:rsidR="004A4095" w:rsidRPr="00514A44" w:rsidRDefault="004A4095" w:rsidP="004A409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30.865.000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E528" w14:textId="3F7B5D05" w:rsidR="004A4095" w:rsidRPr="00514A44" w:rsidRDefault="004A4095" w:rsidP="004A409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106</w:t>
            </w:r>
          </w:p>
        </w:tc>
      </w:tr>
      <w:tr w:rsidR="004A4095" w:rsidRPr="00514A44" w14:paraId="3A33BFA5" w14:textId="77777777" w:rsidTr="004A4095">
        <w:trPr>
          <w:trHeight w:val="13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FED1B42" w14:textId="77777777" w:rsidR="004A4095" w:rsidRPr="00514A44" w:rsidRDefault="004A4095" w:rsidP="004A409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Garantni fond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B913D" w14:textId="40B0CB75" w:rsidR="004A4095" w:rsidRPr="00514A44" w:rsidRDefault="004A4095" w:rsidP="004A409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1.637.000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F97F7" w14:textId="3ADFDB5A" w:rsidR="004A4095" w:rsidRPr="00514A44" w:rsidRDefault="004A4095" w:rsidP="004A409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1.637.000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5D185" w14:textId="3EF7154E" w:rsidR="004A4095" w:rsidRPr="00514A44" w:rsidRDefault="004A4095" w:rsidP="004A409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</w:tr>
      <w:tr w:rsidR="004A4095" w:rsidRPr="00514A44" w14:paraId="07A9EBB4" w14:textId="77777777" w:rsidTr="004A4095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6E4BFF18" w14:textId="77777777" w:rsidR="004A4095" w:rsidRPr="00514A44" w:rsidRDefault="004A4095" w:rsidP="004A4095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Ukupni kapital i rezerve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748639F8" w14:textId="1D0B6E3F" w:rsidR="004A4095" w:rsidRPr="00514A44" w:rsidRDefault="004A4095" w:rsidP="004A4095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color w:val="000000"/>
                <w:sz w:val="18"/>
                <w:szCs w:val="18"/>
              </w:rPr>
              <w:t>1.453.311.000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5C6AE1D8" w14:textId="0DA71CB3" w:rsidR="004A4095" w:rsidRPr="00514A44" w:rsidRDefault="004A4095" w:rsidP="004A4095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color w:val="000000"/>
                <w:sz w:val="18"/>
                <w:szCs w:val="18"/>
              </w:rPr>
              <w:t>1.487.176.000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0B66F3F6" w14:textId="52B98B1A" w:rsidR="004A4095" w:rsidRPr="00514A44" w:rsidRDefault="004A4095" w:rsidP="004A409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color w:val="000000"/>
                <w:sz w:val="18"/>
                <w:szCs w:val="18"/>
              </w:rPr>
              <w:t>102</w:t>
            </w:r>
          </w:p>
        </w:tc>
      </w:tr>
      <w:tr w:rsidR="00A21432" w:rsidRPr="00514A44" w14:paraId="2EC6AA2E" w14:textId="77777777" w:rsidTr="004A4095">
        <w:trPr>
          <w:trHeight w:val="1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C408DF" w14:textId="77777777" w:rsidR="00A21432" w:rsidRPr="00514A44" w:rsidRDefault="00A2143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951A7F" w14:textId="77777777" w:rsidR="00A21432" w:rsidRPr="00514A44" w:rsidRDefault="00A21432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26388E" w14:textId="77777777" w:rsidR="00A21432" w:rsidRPr="00514A44" w:rsidRDefault="00A21432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5ED3" w14:textId="77777777" w:rsidR="00A21432" w:rsidRPr="00514A44" w:rsidRDefault="00A2143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A4095" w:rsidRPr="00B442D6" w14:paraId="5D95FD22" w14:textId="77777777" w:rsidTr="004A4095">
        <w:trPr>
          <w:trHeight w:val="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bottom"/>
            <w:hideMark/>
          </w:tcPr>
          <w:p w14:paraId="167B8546" w14:textId="77777777" w:rsidR="004A4095" w:rsidRPr="00514A44" w:rsidRDefault="004A4095" w:rsidP="004A4095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Ukupne obveze i kapital i rezerve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center"/>
          </w:tcPr>
          <w:p w14:paraId="1BB48AC0" w14:textId="4F4AEBDA" w:rsidR="004A4095" w:rsidRPr="00514A44" w:rsidRDefault="004A4095" w:rsidP="004A4095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color w:val="000000"/>
                <w:sz w:val="18"/>
                <w:szCs w:val="18"/>
              </w:rPr>
              <w:t>4.126.128.000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center"/>
          </w:tcPr>
          <w:p w14:paraId="783BA3B1" w14:textId="24700A61" w:rsidR="004A4095" w:rsidRPr="00514A44" w:rsidRDefault="004A4095" w:rsidP="004A4095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color w:val="000000"/>
                <w:sz w:val="18"/>
                <w:szCs w:val="18"/>
              </w:rPr>
              <w:t>4.137.442.000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2303A321" w14:textId="4D878804" w:rsidR="004A4095" w:rsidRPr="007B1A1D" w:rsidRDefault="004A4095" w:rsidP="004A409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</w:tbl>
    <w:p w14:paraId="45FE13A0" w14:textId="77777777" w:rsidR="000C0AC8" w:rsidRPr="005504D6" w:rsidRDefault="000C0AC8" w:rsidP="006C5E2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Arial"/>
          <w:b/>
          <w:sz w:val="20"/>
          <w:highlight w:val="cyan"/>
        </w:rPr>
      </w:pPr>
    </w:p>
    <w:p w14:paraId="3F43C468" w14:textId="77777777" w:rsidR="000C0AC8" w:rsidRPr="005504D6" w:rsidRDefault="000C0AC8" w:rsidP="006C5E2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Arial"/>
          <w:b/>
          <w:sz w:val="20"/>
          <w:highlight w:val="cyan"/>
        </w:rPr>
      </w:pPr>
    </w:p>
    <w:p w14:paraId="25D2971C" w14:textId="77777777" w:rsidR="00172AA7" w:rsidRPr="005504D6" w:rsidRDefault="00172AA7">
      <w:pPr>
        <w:rPr>
          <w:rFonts w:cs="Arial"/>
          <w:b/>
          <w:sz w:val="20"/>
          <w:highlight w:val="cyan"/>
        </w:rPr>
      </w:pPr>
      <w:r w:rsidRPr="005504D6">
        <w:rPr>
          <w:rFonts w:cs="Arial"/>
          <w:b/>
          <w:sz w:val="20"/>
          <w:highlight w:val="cyan"/>
        </w:rPr>
        <w:br w:type="page"/>
      </w:r>
    </w:p>
    <w:p w14:paraId="1AFBD209" w14:textId="42BB332D" w:rsidR="000C0AC8" w:rsidRDefault="000C0AC8" w:rsidP="000C0AC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b/>
          <w:bCs/>
          <w:sz w:val="20"/>
        </w:rPr>
      </w:pPr>
      <w:r w:rsidRPr="005504D6">
        <w:rPr>
          <w:rFonts w:eastAsia="Times New Roman" w:cs="Arial"/>
          <w:b/>
          <w:bCs/>
          <w:sz w:val="20"/>
        </w:rPr>
        <w:lastRenderedPageBreak/>
        <w:t>c) Plan Izvještaja o</w:t>
      </w:r>
      <w:r w:rsidR="00397645" w:rsidRPr="005504D6">
        <w:rPr>
          <w:rFonts w:eastAsia="Times New Roman" w:cs="Arial"/>
          <w:b/>
          <w:bCs/>
          <w:sz w:val="20"/>
        </w:rPr>
        <w:t xml:space="preserve"> novčanom toku na dan 31.12.20</w:t>
      </w:r>
      <w:r w:rsidR="001242BC" w:rsidRPr="005504D6">
        <w:rPr>
          <w:rFonts w:eastAsia="Times New Roman" w:cs="Arial"/>
          <w:b/>
          <w:bCs/>
          <w:sz w:val="20"/>
        </w:rPr>
        <w:t>2</w:t>
      </w:r>
      <w:r w:rsidR="00EA2E42">
        <w:rPr>
          <w:rFonts w:eastAsia="Times New Roman" w:cs="Arial"/>
          <w:b/>
          <w:bCs/>
          <w:sz w:val="20"/>
        </w:rPr>
        <w:t>4</w:t>
      </w:r>
      <w:r w:rsidRPr="005504D6">
        <w:rPr>
          <w:rFonts w:eastAsia="Times New Roman" w:cs="Arial"/>
          <w:b/>
          <w:bCs/>
          <w:sz w:val="20"/>
        </w:rPr>
        <w:t>. godinu:</w:t>
      </w:r>
    </w:p>
    <w:p w14:paraId="61F876F2" w14:textId="77777777" w:rsidR="00A21432" w:rsidRPr="005504D6" w:rsidRDefault="00A21432" w:rsidP="000C0AC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b/>
          <w:bCs/>
          <w:sz w:val="20"/>
        </w:rPr>
      </w:pPr>
    </w:p>
    <w:tbl>
      <w:tblPr>
        <w:tblW w:w="5062" w:type="pct"/>
        <w:jc w:val="center"/>
        <w:tblLayout w:type="fixed"/>
        <w:tblLook w:val="04A0" w:firstRow="1" w:lastRow="0" w:firstColumn="1" w:lastColumn="0" w:noHBand="0" w:noVBand="1"/>
      </w:tblPr>
      <w:tblGrid>
        <w:gridCol w:w="922"/>
        <w:gridCol w:w="5428"/>
        <w:gridCol w:w="1417"/>
        <w:gridCol w:w="1305"/>
        <w:gridCol w:w="112"/>
      </w:tblGrid>
      <w:tr w:rsidR="007B3F20" w:rsidRPr="00514A44" w14:paraId="3B033BD4" w14:textId="77777777" w:rsidTr="0004549C">
        <w:trPr>
          <w:gridAfter w:val="1"/>
          <w:wAfter w:w="112" w:type="dxa"/>
          <w:trHeight w:val="300"/>
          <w:jc w:val="center"/>
        </w:trPr>
        <w:tc>
          <w:tcPr>
            <w:tcW w:w="9072" w:type="dxa"/>
            <w:gridSpan w:val="4"/>
            <w:tcBorders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05D683" w14:textId="77777777" w:rsidR="00A21432" w:rsidRPr="00514A44" w:rsidRDefault="00A21432" w:rsidP="00C12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IZVJEŠTAJ O NOVČANOM TOKU - DIREKTNA METODA</w:t>
            </w:r>
          </w:p>
        </w:tc>
      </w:tr>
      <w:tr w:rsidR="007B3F20" w:rsidRPr="00514A44" w14:paraId="54A216BE" w14:textId="77777777" w:rsidTr="0004549C">
        <w:trPr>
          <w:gridAfter w:val="1"/>
          <w:wAfter w:w="112" w:type="dxa"/>
          <w:trHeight w:val="300"/>
          <w:jc w:val="center"/>
        </w:trPr>
        <w:tc>
          <w:tcPr>
            <w:tcW w:w="9072" w:type="dxa"/>
            <w:gridSpan w:val="4"/>
            <w:tcBorders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1AFE80" w14:textId="77777777" w:rsidR="00A21432" w:rsidRPr="00514A44" w:rsidRDefault="00A21432" w:rsidP="00C12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za  razdoblje  od 1. siječnja  do 31. prosinca</w:t>
            </w:r>
          </w:p>
        </w:tc>
      </w:tr>
      <w:tr w:rsidR="007B3F20" w:rsidRPr="00514A44" w14:paraId="6E8B08EE" w14:textId="77777777" w:rsidTr="0004549C">
        <w:trPr>
          <w:gridAfter w:val="1"/>
          <w:wAfter w:w="112" w:type="dxa"/>
          <w:trHeight w:val="80"/>
          <w:jc w:val="center"/>
        </w:trPr>
        <w:tc>
          <w:tcPr>
            <w:tcW w:w="922" w:type="dxa"/>
            <w:tcBorders>
              <w:top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4F513C" w14:textId="77777777" w:rsidR="00A21432" w:rsidRPr="00514A44" w:rsidRDefault="00A21432" w:rsidP="00C12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EC5F50" w14:textId="77777777" w:rsidR="00A21432" w:rsidRPr="00514A44" w:rsidRDefault="00A21432" w:rsidP="00C12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144D8" w14:textId="77777777" w:rsidR="00A21432" w:rsidRPr="00514A44" w:rsidRDefault="00A21432" w:rsidP="00C12B5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 xml:space="preserve"> (u EUR)</w:t>
            </w:r>
          </w:p>
        </w:tc>
      </w:tr>
      <w:tr w:rsidR="007B3F20" w:rsidRPr="00514A44" w14:paraId="086C6368" w14:textId="77777777" w:rsidTr="0004549C">
        <w:trPr>
          <w:trHeight w:val="50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E272F7" w14:textId="77777777" w:rsidR="00A21432" w:rsidRPr="00514A44" w:rsidRDefault="00A2143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616C23" w14:textId="77777777" w:rsidR="00A21432" w:rsidRPr="00514A44" w:rsidRDefault="00A2143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7E3E99" w14:textId="77777777" w:rsidR="00A21432" w:rsidRPr="00514A44" w:rsidRDefault="00A21432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sz w:val="18"/>
                <w:szCs w:val="18"/>
              </w:rPr>
              <w:t>Plan</w:t>
            </w:r>
          </w:p>
          <w:p w14:paraId="42346327" w14:textId="3FBF0F66" w:rsidR="00A21432" w:rsidRPr="00514A44" w:rsidRDefault="00A21432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EA2E42" w:rsidRPr="00514A44">
              <w:rPr>
                <w:rFonts w:cs="Arial"/>
                <w:b/>
                <w:bCs/>
                <w:sz w:val="18"/>
                <w:szCs w:val="18"/>
              </w:rPr>
              <w:t>3</w:t>
            </w:r>
            <w:r w:rsidRPr="00514A44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C9479" w14:textId="77777777" w:rsidR="00A21432" w:rsidRPr="00514A44" w:rsidRDefault="00A21432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sz w:val="18"/>
                <w:szCs w:val="18"/>
              </w:rPr>
              <w:t>Plan za</w:t>
            </w:r>
          </w:p>
          <w:p w14:paraId="3968E6D6" w14:textId="6DA60291" w:rsidR="00A21432" w:rsidRPr="00514A44" w:rsidRDefault="00A21432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sz w:val="18"/>
                <w:szCs w:val="18"/>
              </w:rPr>
              <w:t xml:space="preserve"> 202</w:t>
            </w:r>
            <w:r w:rsidR="00EA2E42" w:rsidRPr="00514A44">
              <w:rPr>
                <w:rFonts w:cs="Arial"/>
                <w:b/>
                <w:bCs/>
                <w:sz w:val="18"/>
                <w:szCs w:val="18"/>
              </w:rPr>
              <w:t>4</w:t>
            </w:r>
            <w:r w:rsidRPr="00514A44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</w:tr>
      <w:tr w:rsidR="0011676D" w:rsidRPr="00514A44" w14:paraId="151A93A4" w14:textId="77777777" w:rsidTr="0004549C">
        <w:trPr>
          <w:trHeight w:val="300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4115" w14:textId="77777777" w:rsidR="0011676D" w:rsidRPr="00514A44" w:rsidRDefault="001167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4A44">
              <w:rPr>
                <w:rFonts w:eastAsia="Times New Roman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943A" w14:textId="77777777" w:rsidR="0011676D" w:rsidRPr="00514A44" w:rsidRDefault="0011676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RASPOLOŽIVA SREDSTVA NA POČETKU GODINE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A477E" w14:textId="0FBC00CE" w:rsidR="0011676D" w:rsidRPr="00514A44" w:rsidRDefault="003465BB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514A44">
              <w:rPr>
                <w:rFonts w:cs="Arial"/>
                <w:b/>
                <w:sz w:val="18"/>
                <w:szCs w:val="18"/>
              </w:rPr>
              <w:t>456</w:t>
            </w:r>
            <w:r w:rsidR="0011676D" w:rsidRPr="00514A44">
              <w:rPr>
                <w:rFonts w:cs="Arial"/>
                <w:b/>
                <w:sz w:val="18"/>
                <w:szCs w:val="18"/>
              </w:rPr>
              <w:t>.</w:t>
            </w:r>
            <w:r w:rsidRPr="00514A44">
              <w:rPr>
                <w:rFonts w:cs="Arial"/>
                <w:b/>
                <w:sz w:val="18"/>
                <w:szCs w:val="18"/>
              </w:rPr>
              <w:t>739</w:t>
            </w:r>
            <w:r w:rsidR="0011676D" w:rsidRPr="00514A44">
              <w:rPr>
                <w:rFonts w:cs="Arial"/>
                <w:b/>
                <w:sz w:val="18"/>
                <w:szCs w:val="18"/>
              </w:rPr>
              <w:t>.8</w:t>
            </w:r>
            <w:r w:rsidRPr="00514A44">
              <w:rPr>
                <w:rFonts w:cs="Arial"/>
                <w:b/>
                <w:sz w:val="18"/>
                <w:szCs w:val="18"/>
              </w:rPr>
              <w:t>86</w:t>
            </w:r>
            <w:r w:rsidR="0011676D" w:rsidRPr="00514A44">
              <w:rPr>
                <w:rFonts w:cs="Arial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7F1E" w14:textId="7364EBAA" w:rsidR="0011676D" w:rsidRPr="00514A44" w:rsidRDefault="003465BB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</w:rPr>
            </w:pPr>
            <w:r w:rsidRPr="00514A44">
              <w:rPr>
                <w:rFonts w:cs="Arial"/>
                <w:b/>
                <w:sz w:val="18"/>
                <w:szCs w:val="18"/>
              </w:rPr>
              <w:t>438</w:t>
            </w:r>
            <w:r w:rsidR="0011676D" w:rsidRPr="00514A44">
              <w:rPr>
                <w:rFonts w:cs="Arial"/>
                <w:b/>
                <w:sz w:val="18"/>
                <w:szCs w:val="18"/>
              </w:rPr>
              <w:t>.</w:t>
            </w:r>
            <w:r w:rsidRPr="00514A44">
              <w:rPr>
                <w:rFonts w:cs="Arial"/>
                <w:b/>
                <w:sz w:val="18"/>
                <w:szCs w:val="18"/>
              </w:rPr>
              <w:t>92</w:t>
            </w:r>
            <w:r w:rsidR="007320B3" w:rsidRPr="00514A44">
              <w:rPr>
                <w:rFonts w:cs="Arial"/>
                <w:b/>
                <w:sz w:val="18"/>
                <w:szCs w:val="18"/>
              </w:rPr>
              <w:t>5</w:t>
            </w:r>
            <w:r w:rsidR="0011676D" w:rsidRPr="00514A44">
              <w:rPr>
                <w:rFonts w:cs="Arial"/>
                <w:b/>
                <w:sz w:val="18"/>
                <w:szCs w:val="18"/>
              </w:rPr>
              <w:t>.</w:t>
            </w:r>
            <w:r w:rsidR="007320B3" w:rsidRPr="00514A44">
              <w:rPr>
                <w:rFonts w:cs="Arial"/>
                <w:b/>
                <w:sz w:val="18"/>
                <w:szCs w:val="18"/>
              </w:rPr>
              <w:t>000</w:t>
            </w:r>
            <w:r w:rsidR="0011676D" w:rsidRPr="00514A44">
              <w:rPr>
                <w:rFonts w:cs="Arial"/>
                <w:b/>
                <w:sz w:val="18"/>
                <w:szCs w:val="18"/>
              </w:rPr>
              <w:t xml:space="preserve">    </w:t>
            </w:r>
          </w:p>
        </w:tc>
      </w:tr>
      <w:tr w:rsidR="0011676D" w:rsidRPr="00514A44" w14:paraId="5BDFF444" w14:textId="77777777" w:rsidTr="0004549C">
        <w:trPr>
          <w:trHeight w:val="300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A4CA" w14:textId="77777777" w:rsidR="0011676D" w:rsidRPr="00514A44" w:rsidRDefault="001167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 Odljevi:</w:t>
            </w: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A1B0" w14:textId="77777777" w:rsidR="0011676D" w:rsidRPr="00514A44" w:rsidRDefault="001167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0C1A4" w14:textId="77777777" w:rsidR="0011676D" w:rsidRPr="00514A44" w:rsidRDefault="0011676D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18F36" w14:textId="77777777" w:rsidR="0011676D" w:rsidRPr="00514A44" w:rsidRDefault="0011676D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676D" w:rsidRPr="00514A44" w14:paraId="00378696" w14:textId="77777777" w:rsidTr="0004549C">
        <w:trPr>
          <w:trHeight w:val="300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4546A"/>
            <w:noWrap/>
            <w:vAlign w:val="bottom"/>
            <w:hideMark/>
          </w:tcPr>
          <w:p w14:paraId="39AAB2E4" w14:textId="77777777" w:rsidR="0011676D" w:rsidRPr="00514A44" w:rsidRDefault="0011676D">
            <w:pPr>
              <w:spacing w:after="0" w:line="240" w:lineRule="auto"/>
              <w:jc w:val="center"/>
              <w:rPr>
                <w:rFonts w:eastAsia="Times New Roman" w:cs="Arial"/>
                <w:color w:val="FFFFFF" w:themeColor="background1"/>
                <w:sz w:val="18"/>
                <w:szCs w:val="18"/>
              </w:rPr>
            </w:pPr>
            <w:r w:rsidRPr="00514A44">
              <w:rPr>
                <w:rFonts w:eastAsia="Times New Roman" w:cs="Arial"/>
                <w:color w:val="FFFFFF" w:themeColor="background1"/>
                <w:sz w:val="18"/>
                <w:szCs w:val="18"/>
              </w:rPr>
              <w:t>II</w:t>
            </w: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noWrap/>
            <w:vAlign w:val="bottom"/>
            <w:hideMark/>
          </w:tcPr>
          <w:p w14:paraId="649D94AA" w14:textId="77777777" w:rsidR="0011676D" w:rsidRPr="00514A44" w:rsidRDefault="001167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</w:rPr>
              <w:t>PLASMANI, OTPLATA OBVEZA I TROŠKOVI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noWrap/>
            <w:vAlign w:val="bottom"/>
          </w:tcPr>
          <w:p w14:paraId="0C5D34AC" w14:textId="77777777" w:rsidR="0011676D" w:rsidRPr="00514A44" w:rsidRDefault="0011676D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546A"/>
            <w:noWrap/>
            <w:vAlign w:val="bottom"/>
          </w:tcPr>
          <w:p w14:paraId="6EBA6813" w14:textId="77777777" w:rsidR="0011676D" w:rsidRPr="00514A44" w:rsidRDefault="0011676D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E403F" w:rsidRPr="00514A44" w14:paraId="648DAC7F" w14:textId="77777777" w:rsidTr="0004549C">
        <w:trPr>
          <w:trHeight w:val="149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C856" w14:textId="77777777" w:rsidR="008E403F" w:rsidRPr="00514A44" w:rsidRDefault="008E403F" w:rsidP="008E403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1.</w:t>
            </w: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6CA6" w14:textId="77777777" w:rsidR="008E403F" w:rsidRPr="00514A44" w:rsidRDefault="008E403F" w:rsidP="008E403F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 xml:space="preserve">Kreditne aktivnosti – isplate po kreditnim programima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109A0" w14:textId="6D8D37AA" w:rsidR="008E403F" w:rsidRPr="00514A44" w:rsidRDefault="008E403F" w:rsidP="008E403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sz w:val="18"/>
                <w:szCs w:val="18"/>
              </w:rPr>
              <w:t>884.382.000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B197D" w14:textId="1FB8B935" w:rsidR="008E403F" w:rsidRPr="00514A44" w:rsidRDefault="008E403F" w:rsidP="008E403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sz w:val="18"/>
                <w:szCs w:val="18"/>
              </w:rPr>
              <w:t>680.805.000</w:t>
            </w:r>
          </w:p>
        </w:tc>
      </w:tr>
      <w:tr w:rsidR="008E403F" w:rsidRPr="00514A44" w14:paraId="71056972" w14:textId="77777777" w:rsidTr="0004549C">
        <w:trPr>
          <w:trHeight w:val="82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670B" w14:textId="77777777" w:rsidR="008E403F" w:rsidRPr="00514A44" w:rsidRDefault="008E403F" w:rsidP="008E403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2.</w:t>
            </w: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E1D9" w14:textId="77777777" w:rsidR="008E403F" w:rsidRPr="00514A44" w:rsidRDefault="008E403F" w:rsidP="008E403F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Otplata glavnice i kamata zaduženja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4F4EF" w14:textId="7AA2E9DF" w:rsidR="008E403F" w:rsidRPr="00514A44" w:rsidRDefault="008E403F" w:rsidP="008E403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sz w:val="18"/>
                <w:szCs w:val="18"/>
              </w:rPr>
              <w:t>539.774.000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4A04" w14:textId="56925392" w:rsidR="008E403F" w:rsidRPr="00514A44" w:rsidRDefault="008E403F" w:rsidP="008E403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sz w:val="18"/>
                <w:szCs w:val="18"/>
              </w:rPr>
              <w:t>515.412.000</w:t>
            </w:r>
          </w:p>
        </w:tc>
      </w:tr>
      <w:tr w:rsidR="008E403F" w:rsidRPr="00514A44" w14:paraId="43456926" w14:textId="77777777" w:rsidTr="0004549C">
        <w:trPr>
          <w:trHeight w:val="82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C0CD1" w14:textId="713BE9BC" w:rsidR="008E403F" w:rsidRPr="00514A44" w:rsidRDefault="008E403F" w:rsidP="008E403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3.</w:t>
            </w: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49E3E" w14:textId="2282C237" w:rsidR="008E403F" w:rsidRPr="00514A44" w:rsidRDefault="008E403F" w:rsidP="008E403F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color w:val="000000"/>
                <w:sz w:val="18"/>
                <w:szCs w:val="18"/>
              </w:rPr>
              <w:t>Odljev sredstava po kratkoročnim depozitima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79527" w14:textId="0D6187A2" w:rsidR="008E403F" w:rsidRPr="00514A44" w:rsidRDefault="008E403F" w:rsidP="008E403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sz w:val="18"/>
                <w:szCs w:val="18"/>
              </w:rPr>
              <w:t>145.000.000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1D0D6" w14:textId="2DAB2348" w:rsidR="008E403F" w:rsidRPr="00514A44" w:rsidRDefault="008E403F" w:rsidP="008E403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sz w:val="18"/>
                <w:szCs w:val="18"/>
              </w:rPr>
              <w:t>52.399.000</w:t>
            </w:r>
          </w:p>
        </w:tc>
      </w:tr>
      <w:tr w:rsidR="008E403F" w:rsidRPr="00514A44" w14:paraId="70436668" w14:textId="77777777" w:rsidTr="0004549C">
        <w:trPr>
          <w:trHeight w:val="170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2D8E7" w14:textId="1C784ED5" w:rsidR="008E403F" w:rsidRPr="00514A44" w:rsidRDefault="008E403F" w:rsidP="008E403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4.</w:t>
            </w: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7EE54" w14:textId="7B3520F2" w:rsidR="008E403F" w:rsidRPr="00514A44" w:rsidRDefault="008E403F" w:rsidP="008E403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4A44">
              <w:rPr>
                <w:rFonts w:eastAsia="Times New Roman" w:cs="Arial"/>
                <w:color w:val="000000"/>
                <w:sz w:val="18"/>
                <w:szCs w:val="18"/>
              </w:rPr>
              <w:t>Troškovi poslovanja i naknada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F199A" w14:textId="227ED7F9" w:rsidR="008E403F" w:rsidRPr="00514A44" w:rsidRDefault="008E403F" w:rsidP="008E403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sz w:val="18"/>
                <w:szCs w:val="18"/>
              </w:rPr>
              <w:t>24.451.000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62A59" w14:textId="44EEC8CB" w:rsidR="008E403F" w:rsidRPr="00514A44" w:rsidRDefault="008E403F" w:rsidP="008E403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sz w:val="18"/>
                <w:szCs w:val="18"/>
              </w:rPr>
              <w:t>29.783.000</w:t>
            </w:r>
          </w:p>
        </w:tc>
      </w:tr>
      <w:tr w:rsidR="008E403F" w:rsidRPr="00514A44" w14:paraId="36223FA2" w14:textId="77777777" w:rsidTr="0004549C">
        <w:trPr>
          <w:trHeight w:val="101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C87F5" w14:textId="325B80DA" w:rsidR="008E403F" w:rsidRPr="00514A44" w:rsidRDefault="008E403F" w:rsidP="008E403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5.</w:t>
            </w: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8BCAA" w14:textId="4FCA68B0" w:rsidR="008E403F" w:rsidRPr="00514A44" w:rsidRDefault="008E403F" w:rsidP="008E403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4A44">
              <w:rPr>
                <w:rFonts w:eastAsia="Times New Roman" w:cs="Arial"/>
                <w:color w:val="000000"/>
                <w:sz w:val="18"/>
                <w:szCs w:val="18"/>
              </w:rPr>
              <w:t>Garantni fond osiguranja izvoza – mandatni posao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A867F" w14:textId="7879F69E" w:rsidR="008E403F" w:rsidRPr="00514A44" w:rsidRDefault="008E403F" w:rsidP="008E403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sz w:val="18"/>
                <w:szCs w:val="18"/>
              </w:rPr>
              <w:t>95.999.000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68D94" w14:textId="075923E0" w:rsidR="008E403F" w:rsidRPr="00514A44" w:rsidRDefault="008E403F" w:rsidP="008E403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sz w:val="18"/>
                <w:szCs w:val="18"/>
              </w:rPr>
              <w:t>65.638.000</w:t>
            </w:r>
          </w:p>
        </w:tc>
      </w:tr>
      <w:tr w:rsidR="008E403F" w:rsidRPr="00514A44" w14:paraId="39AC32B8" w14:textId="77777777" w:rsidTr="0004549C">
        <w:trPr>
          <w:trHeight w:val="60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EDA9" w14:textId="70DEF082" w:rsidR="008E403F" w:rsidRPr="00514A44" w:rsidRDefault="008E403F" w:rsidP="008E403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6.</w:t>
            </w: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D54FF" w14:textId="0E5AED3A" w:rsidR="008E403F" w:rsidRPr="00514A44" w:rsidRDefault="008E403F" w:rsidP="008E403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4A44">
              <w:rPr>
                <w:rFonts w:eastAsia="Times New Roman" w:cs="Arial"/>
                <w:color w:val="000000"/>
                <w:sz w:val="18"/>
                <w:szCs w:val="18"/>
              </w:rPr>
              <w:t>Ulaganje u Fondove za gospodarsku suradnju – mandatni posao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283FF" w14:textId="5B8EADD4" w:rsidR="008E403F" w:rsidRPr="00514A44" w:rsidRDefault="008E403F" w:rsidP="008E403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sz w:val="18"/>
                <w:szCs w:val="18"/>
              </w:rPr>
              <w:t>2.799.000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E7A72" w14:textId="510D4874" w:rsidR="008E403F" w:rsidRPr="00514A44" w:rsidRDefault="008E403F" w:rsidP="008E403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sz w:val="18"/>
                <w:szCs w:val="18"/>
              </w:rPr>
              <w:t>-</w:t>
            </w:r>
          </w:p>
        </w:tc>
      </w:tr>
      <w:tr w:rsidR="008E403F" w:rsidRPr="00514A44" w14:paraId="3810ED2E" w14:textId="77777777" w:rsidTr="0004549C">
        <w:trPr>
          <w:trHeight w:val="108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293C3" w14:textId="443C3BE4" w:rsidR="008E403F" w:rsidRPr="00514A44" w:rsidRDefault="008E403F" w:rsidP="008E403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7.</w:t>
            </w: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8B6E4B" w14:textId="06AC0D49" w:rsidR="008E403F" w:rsidRPr="00514A44" w:rsidRDefault="008E403F" w:rsidP="008E403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4A44">
              <w:rPr>
                <w:rFonts w:eastAsia="Times New Roman" w:cs="Arial"/>
                <w:color w:val="000000"/>
                <w:sz w:val="18"/>
                <w:szCs w:val="18"/>
              </w:rPr>
              <w:t>Ulaganje u investicijski fond Inicijative triju mora-mandatni posao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2ED8B" w14:textId="6D1FF7FC" w:rsidR="008E403F" w:rsidRPr="00514A44" w:rsidRDefault="008E403F" w:rsidP="008E403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sz w:val="18"/>
                <w:szCs w:val="18"/>
              </w:rPr>
              <w:t>5.138.000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FAD1C" w14:textId="38441B13" w:rsidR="008E403F" w:rsidRPr="00514A44" w:rsidRDefault="008E403F" w:rsidP="008E403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sz w:val="18"/>
                <w:szCs w:val="18"/>
              </w:rPr>
              <w:t>2.800.000</w:t>
            </w:r>
          </w:p>
        </w:tc>
      </w:tr>
      <w:tr w:rsidR="008E403F" w:rsidRPr="00514A44" w14:paraId="484F7D84" w14:textId="77777777" w:rsidTr="0004549C">
        <w:trPr>
          <w:trHeight w:val="181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7C7A9" w14:textId="26DB6D76" w:rsidR="008E403F" w:rsidRPr="00514A44" w:rsidRDefault="008E403F" w:rsidP="008E403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8.</w:t>
            </w: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3A950" w14:textId="50DDBDAF" w:rsidR="008E403F" w:rsidRPr="00514A44" w:rsidRDefault="008E403F" w:rsidP="008E403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4A44">
              <w:rPr>
                <w:rFonts w:eastAsia="Times New Roman" w:cs="Arial"/>
                <w:color w:val="000000"/>
                <w:sz w:val="18"/>
                <w:szCs w:val="18"/>
              </w:rPr>
              <w:t>Financijski instrumenti - NPOO - mandatni posao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332E8" w14:textId="7E945435" w:rsidR="008E403F" w:rsidRPr="00514A44" w:rsidRDefault="008E403F" w:rsidP="008E403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sz w:val="18"/>
                <w:szCs w:val="18"/>
              </w:rPr>
              <w:t>56.535.000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4EE1B" w14:textId="5B24D090" w:rsidR="008E403F" w:rsidRPr="00514A44" w:rsidRDefault="008E403F" w:rsidP="008E403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sz w:val="18"/>
                <w:szCs w:val="18"/>
              </w:rPr>
              <w:t>48.241.000</w:t>
            </w:r>
          </w:p>
        </w:tc>
      </w:tr>
      <w:tr w:rsidR="008E403F" w:rsidRPr="00514A44" w14:paraId="6224AEC3" w14:textId="77777777" w:rsidTr="0004549C">
        <w:trPr>
          <w:trHeight w:val="114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F0699" w14:textId="25258138" w:rsidR="008E403F" w:rsidRPr="00514A44" w:rsidRDefault="008E403F" w:rsidP="008E403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9.</w:t>
            </w: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CE6AA" w14:textId="3180D954" w:rsidR="008E403F" w:rsidRPr="00514A44" w:rsidRDefault="008E403F" w:rsidP="008E403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4A44">
              <w:rPr>
                <w:rFonts w:eastAsia="Times New Roman" w:cs="Arial"/>
                <w:color w:val="000000"/>
                <w:sz w:val="18"/>
                <w:szCs w:val="18"/>
              </w:rPr>
              <w:t xml:space="preserve">Ostali plasmani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9BB62" w14:textId="5E79FD7D" w:rsidR="008E403F" w:rsidRPr="00514A44" w:rsidRDefault="008E403F" w:rsidP="008E403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sz w:val="18"/>
                <w:szCs w:val="18"/>
              </w:rPr>
              <w:t>68.4</w:t>
            </w:r>
            <w:r w:rsidR="003854B4" w:rsidRPr="00514A44">
              <w:rPr>
                <w:rFonts w:cs="Arial"/>
                <w:sz w:val="18"/>
                <w:szCs w:val="18"/>
              </w:rPr>
              <w:t>49</w:t>
            </w:r>
            <w:r w:rsidRPr="00514A44">
              <w:rPr>
                <w:rFonts w:cs="Arial"/>
                <w:sz w:val="18"/>
                <w:szCs w:val="18"/>
              </w:rPr>
              <w:t>.</w:t>
            </w:r>
            <w:r w:rsidR="003854B4" w:rsidRPr="00514A44">
              <w:rPr>
                <w:rFonts w:cs="Arial"/>
                <w:sz w:val="18"/>
                <w:szCs w:val="18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7E36" w14:textId="6E021B00" w:rsidR="008E403F" w:rsidRPr="00514A44" w:rsidRDefault="008E403F" w:rsidP="008E403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sz w:val="18"/>
                <w:szCs w:val="18"/>
              </w:rPr>
              <w:t>33.</w:t>
            </w:r>
            <w:r w:rsidR="003854B4" w:rsidRPr="00514A44">
              <w:rPr>
                <w:rFonts w:cs="Arial"/>
                <w:sz w:val="18"/>
                <w:szCs w:val="18"/>
              </w:rPr>
              <w:t>586</w:t>
            </w:r>
            <w:r w:rsidRPr="00514A44">
              <w:rPr>
                <w:rFonts w:cs="Arial"/>
                <w:sz w:val="18"/>
                <w:szCs w:val="18"/>
              </w:rPr>
              <w:t>.</w:t>
            </w:r>
            <w:r w:rsidR="003854B4" w:rsidRPr="00514A44">
              <w:rPr>
                <w:rFonts w:cs="Arial"/>
                <w:sz w:val="18"/>
                <w:szCs w:val="18"/>
              </w:rPr>
              <w:t>000</w:t>
            </w:r>
          </w:p>
        </w:tc>
      </w:tr>
      <w:tr w:rsidR="008E403F" w:rsidRPr="00514A44" w14:paraId="4843672C" w14:textId="77777777" w:rsidTr="0004549C">
        <w:trPr>
          <w:trHeight w:val="188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3451642E" w14:textId="5061DC35" w:rsidR="008E403F" w:rsidRPr="00514A44" w:rsidRDefault="008E403F" w:rsidP="008E403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317CFD6C" w14:textId="06A8F4EA" w:rsidR="008E403F" w:rsidRPr="00514A44" w:rsidRDefault="008E403F" w:rsidP="008E403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UKUPNO (II)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2312E15E" w14:textId="51BCB00D" w:rsidR="008E403F" w:rsidRPr="00514A44" w:rsidRDefault="008E403F" w:rsidP="008E403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sz w:val="18"/>
                <w:szCs w:val="18"/>
              </w:rPr>
              <w:t>1.822.52</w:t>
            </w:r>
            <w:r w:rsidR="003854B4" w:rsidRPr="00514A44">
              <w:rPr>
                <w:rFonts w:cs="Arial"/>
                <w:b/>
                <w:bCs/>
                <w:sz w:val="18"/>
                <w:szCs w:val="18"/>
              </w:rPr>
              <w:t>7</w:t>
            </w:r>
            <w:r w:rsidRPr="00514A44">
              <w:rPr>
                <w:rFonts w:cs="Arial"/>
                <w:b/>
                <w:bCs/>
                <w:sz w:val="18"/>
                <w:szCs w:val="18"/>
              </w:rPr>
              <w:t>.</w:t>
            </w:r>
            <w:r w:rsidR="003854B4" w:rsidRPr="00514A44">
              <w:rPr>
                <w:rFonts w:cs="Arial"/>
                <w:b/>
                <w:bCs/>
                <w:sz w:val="18"/>
                <w:szCs w:val="18"/>
              </w:rPr>
              <w:t>886</w:t>
            </w:r>
            <w:r w:rsidRPr="00514A44">
              <w:rPr>
                <w:rFonts w:cs="Arial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265C916A" w14:textId="170917F0" w:rsidR="008E403F" w:rsidRPr="00514A44" w:rsidRDefault="008E403F" w:rsidP="008E403F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sz w:val="18"/>
                <w:szCs w:val="18"/>
              </w:rPr>
              <w:t>1.428.664.</w:t>
            </w:r>
            <w:r w:rsidR="003854B4" w:rsidRPr="00514A44">
              <w:rPr>
                <w:rFonts w:cs="Arial"/>
                <w:b/>
                <w:bCs/>
                <w:sz w:val="18"/>
                <w:szCs w:val="18"/>
              </w:rPr>
              <w:t>000</w:t>
            </w:r>
          </w:p>
        </w:tc>
      </w:tr>
      <w:tr w:rsidR="008E403F" w:rsidRPr="00514A44" w14:paraId="450A441D" w14:textId="77777777" w:rsidTr="0004549C">
        <w:trPr>
          <w:trHeight w:val="300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F0C1" w14:textId="4D294B58" w:rsidR="008E403F" w:rsidRPr="00514A44" w:rsidRDefault="008E403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 Priljevi:</w:t>
            </w: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F9ED" w14:textId="443C46B6" w:rsidR="008E403F" w:rsidRPr="00514A44" w:rsidRDefault="008E403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1BC76" w14:textId="5771827E" w:rsidR="008E403F" w:rsidRPr="00514A44" w:rsidRDefault="008E403F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7B9A9" w14:textId="38A7F577" w:rsidR="008E403F" w:rsidRPr="00514A44" w:rsidRDefault="008E403F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8E403F" w:rsidRPr="00514A44" w14:paraId="384FFD2B" w14:textId="77777777" w:rsidTr="0004549C">
        <w:trPr>
          <w:trHeight w:val="300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4546A"/>
            <w:noWrap/>
            <w:vAlign w:val="bottom"/>
            <w:hideMark/>
          </w:tcPr>
          <w:p w14:paraId="35E3DD75" w14:textId="469F7A5D" w:rsidR="008E403F" w:rsidRPr="00514A44" w:rsidRDefault="008E403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</w:rPr>
              <w:t>III</w:t>
            </w: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noWrap/>
            <w:vAlign w:val="bottom"/>
            <w:hideMark/>
          </w:tcPr>
          <w:p w14:paraId="01B3B1F1" w14:textId="6F260F42" w:rsidR="008E403F" w:rsidRPr="00514A44" w:rsidRDefault="008E403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</w:rPr>
              <w:t>IZVORI SREDSTAVA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noWrap/>
            <w:vAlign w:val="bottom"/>
          </w:tcPr>
          <w:p w14:paraId="65BE1542" w14:textId="37866FB4" w:rsidR="008E403F" w:rsidRPr="00514A44" w:rsidRDefault="008E403F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546A"/>
            <w:noWrap/>
            <w:vAlign w:val="bottom"/>
          </w:tcPr>
          <w:p w14:paraId="48427359" w14:textId="77777777" w:rsidR="008E403F" w:rsidRPr="00514A44" w:rsidRDefault="008E403F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8E403F" w:rsidRPr="00514A44" w14:paraId="730B6B24" w14:textId="77777777" w:rsidTr="0004549C">
        <w:trPr>
          <w:trHeight w:val="300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1A4F" w14:textId="66231D9D" w:rsidR="008E403F" w:rsidRPr="00514A44" w:rsidRDefault="008E403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1.</w:t>
            </w: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31AC" w14:textId="2029D655" w:rsidR="008E403F" w:rsidRPr="00514A44" w:rsidRDefault="008E403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Očekivana naplata glavnice i kamate po odobrenim kreditima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47FC2" w14:textId="001038D9" w:rsidR="008E403F" w:rsidRPr="00514A44" w:rsidRDefault="008E403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sz w:val="18"/>
                <w:szCs w:val="18"/>
              </w:rPr>
              <w:t>746.484.000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5FB02" w14:textId="49EFD9E4" w:rsidR="008E403F" w:rsidRPr="00514A44" w:rsidRDefault="008E403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sz w:val="18"/>
                <w:szCs w:val="18"/>
              </w:rPr>
              <w:t>771.479.000</w:t>
            </w:r>
          </w:p>
        </w:tc>
      </w:tr>
      <w:tr w:rsidR="008E403F" w:rsidRPr="00514A44" w14:paraId="283714DF" w14:textId="77777777" w:rsidTr="0004549C">
        <w:trPr>
          <w:trHeight w:val="76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482E" w14:textId="4172256C" w:rsidR="008E403F" w:rsidRPr="00514A44" w:rsidRDefault="008E403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2.</w:t>
            </w: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C92E" w14:textId="04C93B19" w:rsidR="008E403F" w:rsidRPr="00514A44" w:rsidRDefault="008E403F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Povlačenje sredstava po ugovorenim obvezama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B397" w14:textId="37E3C4A4" w:rsidR="008E403F" w:rsidRPr="00514A44" w:rsidRDefault="008E403F" w:rsidP="0037589A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sz w:val="18"/>
                <w:szCs w:val="18"/>
              </w:rPr>
              <w:t xml:space="preserve">670.000.000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78572" w14:textId="3CF704BA" w:rsidR="008E403F" w:rsidRPr="00514A44" w:rsidRDefault="008E403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sz w:val="18"/>
                <w:szCs w:val="18"/>
              </w:rPr>
              <w:t xml:space="preserve">497.796.000    </w:t>
            </w:r>
          </w:p>
        </w:tc>
      </w:tr>
      <w:tr w:rsidR="008E403F" w:rsidRPr="00514A44" w14:paraId="1999BA39" w14:textId="77777777" w:rsidTr="0004549C">
        <w:trPr>
          <w:trHeight w:val="60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7A2A" w14:textId="41BB9631" w:rsidR="008E403F" w:rsidRPr="00514A44" w:rsidRDefault="008E403F" w:rsidP="008E403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3.</w:t>
            </w: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7E36" w14:textId="75ADEDE7" w:rsidR="008E403F" w:rsidRPr="00514A44" w:rsidRDefault="008E403F" w:rsidP="008E403F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Ostali depoziti-povlačenje sredstava po depozitima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DDF78" w14:textId="29DEDA1A" w:rsidR="008E403F" w:rsidRPr="00514A44" w:rsidRDefault="008E403F" w:rsidP="008E403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sz w:val="18"/>
                <w:szCs w:val="18"/>
              </w:rPr>
              <w:t>197.399.000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2D030" w14:textId="7CA3A935" w:rsidR="008E403F" w:rsidRPr="00514A44" w:rsidRDefault="008E403F" w:rsidP="008E403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sz w:val="18"/>
                <w:szCs w:val="18"/>
              </w:rPr>
              <w:t>25.000.000</w:t>
            </w:r>
          </w:p>
        </w:tc>
      </w:tr>
      <w:tr w:rsidR="008E403F" w:rsidRPr="00514A44" w14:paraId="1F81FA8F" w14:textId="77777777" w:rsidTr="0004549C">
        <w:trPr>
          <w:trHeight w:val="82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32BBB" w14:textId="22FA133A" w:rsidR="008E403F" w:rsidRPr="00514A44" w:rsidRDefault="008E403F" w:rsidP="008E403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4.</w:t>
            </w: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18690" w14:textId="6726D197" w:rsidR="008E403F" w:rsidRPr="00514A44" w:rsidRDefault="008E403F" w:rsidP="008E403F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Uplate iz Proračuna Republike Hrvatske u osnivački kapital HBOR-a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43628" w14:textId="54EA2FEA" w:rsidR="008E403F" w:rsidRPr="00514A44" w:rsidRDefault="008E403F" w:rsidP="008E403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sz w:val="18"/>
                <w:szCs w:val="18"/>
              </w:rPr>
              <w:t>2.654.000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E48F6" w14:textId="51943CFA" w:rsidR="008E403F" w:rsidRPr="00514A44" w:rsidRDefault="008E403F" w:rsidP="008E403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sz w:val="18"/>
                <w:szCs w:val="18"/>
              </w:rPr>
              <w:t>3.000.000</w:t>
            </w:r>
          </w:p>
        </w:tc>
      </w:tr>
      <w:tr w:rsidR="008E403F" w:rsidRPr="00514A44" w14:paraId="4D55E9EC" w14:textId="77777777" w:rsidTr="0004549C">
        <w:trPr>
          <w:trHeight w:val="60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F6B8" w14:textId="6541B740" w:rsidR="008E403F" w:rsidRPr="00514A44" w:rsidRDefault="008E403F" w:rsidP="008E403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5.</w:t>
            </w: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E894" w14:textId="59AD469B" w:rsidR="008E403F" w:rsidRPr="00514A44" w:rsidRDefault="008E403F" w:rsidP="008E403F">
            <w:pPr>
              <w:spacing w:after="0" w:line="240" w:lineRule="auto"/>
              <w:rPr>
                <w:rFonts w:eastAsia="Times New Roman" w:cs="Arial"/>
                <w:i/>
                <w:iCs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 xml:space="preserve">Ostale uplate iz proračuna RH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559A6" w14:textId="638EEA13" w:rsidR="008E403F" w:rsidRPr="00514A44" w:rsidRDefault="008E403F" w:rsidP="008E403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sz w:val="18"/>
                <w:szCs w:val="18"/>
              </w:rPr>
              <w:t>8.345.000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CEDA8" w14:textId="39E1C431" w:rsidR="008E403F" w:rsidRPr="00514A44" w:rsidRDefault="008E403F" w:rsidP="008E403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sz w:val="18"/>
                <w:szCs w:val="18"/>
              </w:rPr>
              <w:t>10.000.000</w:t>
            </w:r>
          </w:p>
        </w:tc>
      </w:tr>
      <w:tr w:rsidR="008E403F" w:rsidRPr="00514A44" w14:paraId="4CBB77B5" w14:textId="77777777" w:rsidTr="0004549C">
        <w:trPr>
          <w:trHeight w:val="60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DCCC" w14:textId="291F4DE5" w:rsidR="008E403F" w:rsidRPr="00514A44" w:rsidRDefault="008E403F" w:rsidP="008E403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6.</w:t>
            </w: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64B0" w14:textId="4FEE8765" w:rsidR="008E403F" w:rsidRPr="00514A44" w:rsidRDefault="008E403F" w:rsidP="008E403F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Garantni fond osiguranja izvoza – mandatni posao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D810B" w14:textId="2FEEC65B" w:rsidR="008E403F" w:rsidRPr="00514A44" w:rsidRDefault="008E403F" w:rsidP="008E403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sz w:val="18"/>
                <w:szCs w:val="18"/>
              </w:rPr>
              <w:t>96.260.000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C32F4" w14:textId="4B118943" w:rsidR="008E403F" w:rsidRPr="00514A44" w:rsidRDefault="008E403F" w:rsidP="008E403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sz w:val="18"/>
                <w:szCs w:val="18"/>
              </w:rPr>
              <w:t>66.804.000</w:t>
            </w:r>
          </w:p>
        </w:tc>
      </w:tr>
      <w:tr w:rsidR="008E403F" w:rsidRPr="00514A44" w14:paraId="354462CE" w14:textId="77777777" w:rsidTr="0004549C">
        <w:trPr>
          <w:trHeight w:val="60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3604" w14:textId="559313E6" w:rsidR="008E403F" w:rsidRPr="00514A44" w:rsidRDefault="008E403F" w:rsidP="008E403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7.</w:t>
            </w: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11A6F" w14:textId="7429887B" w:rsidR="008E403F" w:rsidRPr="00514A44" w:rsidRDefault="008E403F" w:rsidP="008E403F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Ulaganje u Fondove za gospodarsku suradnju – mandatni posao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FEC25" w14:textId="7498A3BA" w:rsidR="008E403F" w:rsidRPr="00514A44" w:rsidRDefault="008E403F" w:rsidP="008E403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sz w:val="18"/>
                <w:szCs w:val="18"/>
              </w:rPr>
              <w:t>2.799.000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F66C" w14:textId="3D9D13C8" w:rsidR="008E403F" w:rsidRPr="00514A44" w:rsidRDefault="008E403F" w:rsidP="008E403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sz w:val="18"/>
                <w:szCs w:val="18"/>
              </w:rPr>
              <w:t>-</w:t>
            </w:r>
          </w:p>
        </w:tc>
      </w:tr>
      <w:tr w:rsidR="008E403F" w:rsidRPr="00514A44" w14:paraId="2C867014" w14:textId="77777777" w:rsidTr="0004549C">
        <w:trPr>
          <w:trHeight w:val="60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3CF3" w14:textId="5700CDD8" w:rsidR="008E403F" w:rsidRPr="00514A44" w:rsidRDefault="008E403F" w:rsidP="008E403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8.</w:t>
            </w: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EE06" w14:textId="0EDDA6B0" w:rsidR="008E403F" w:rsidRPr="00514A44" w:rsidRDefault="008E403F" w:rsidP="008E403F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Ulaganje u investicijski fond Inicijative triju mora-mandatni posao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53B69" w14:textId="6FE98357" w:rsidR="008E403F" w:rsidRPr="00514A44" w:rsidRDefault="008E403F" w:rsidP="008E403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sz w:val="18"/>
                <w:szCs w:val="18"/>
              </w:rPr>
              <w:t>5.138.000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5262D" w14:textId="425A2AC2" w:rsidR="008E403F" w:rsidRPr="00514A44" w:rsidRDefault="008E403F" w:rsidP="008E403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sz w:val="18"/>
                <w:szCs w:val="18"/>
              </w:rPr>
              <w:t>2.800.000</w:t>
            </w:r>
          </w:p>
        </w:tc>
      </w:tr>
      <w:tr w:rsidR="008E403F" w:rsidRPr="00514A44" w14:paraId="422E4F18" w14:textId="77777777" w:rsidTr="0004549C">
        <w:trPr>
          <w:trHeight w:val="60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6800A" w14:textId="5A1CD2FF" w:rsidR="008E403F" w:rsidRPr="00514A44" w:rsidRDefault="008E403F" w:rsidP="008E403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9.</w:t>
            </w: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AD222" w14:textId="48717813" w:rsidR="008E403F" w:rsidRPr="00514A44" w:rsidRDefault="008E403F" w:rsidP="008E403F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Financijski instrumenti - NPOO- mandatni posao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C154D" w14:textId="0FF0729A" w:rsidR="008E403F" w:rsidRPr="00514A44" w:rsidRDefault="008E403F" w:rsidP="008E403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sz w:val="18"/>
                <w:szCs w:val="18"/>
              </w:rPr>
              <w:t>5</w:t>
            </w:r>
            <w:r w:rsidR="00D6652D" w:rsidRPr="00514A44">
              <w:rPr>
                <w:rFonts w:cs="Arial"/>
                <w:sz w:val="18"/>
                <w:szCs w:val="18"/>
              </w:rPr>
              <w:t>5</w:t>
            </w:r>
            <w:r w:rsidRPr="00514A44">
              <w:rPr>
                <w:rFonts w:cs="Arial"/>
                <w:sz w:val="18"/>
                <w:szCs w:val="18"/>
              </w:rPr>
              <w:t>.</w:t>
            </w:r>
            <w:r w:rsidR="00D6652D" w:rsidRPr="00514A44">
              <w:rPr>
                <w:rFonts w:cs="Arial"/>
                <w:sz w:val="18"/>
                <w:szCs w:val="18"/>
              </w:rPr>
              <w:t>836</w:t>
            </w:r>
            <w:r w:rsidRPr="00514A44">
              <w:rPr>
                <w:rFonts w:cs="Arial"/>
                <w:sz w:val="18"/>
                <w:szCs w:val="18"/>
              </w:rPr>
              <w:t>.000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A1897" w14:textId="30C43B23" w:rsidR="008E403F" w:rsidRPr="00514A44" w:rsidRDefault="008E403F" w:rsidP="008E403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sz w:val="18"/>
                <w:szCs w:val="18"/>
              </w:rPr>
              <w:t>48.241.000</w:t>
            </w:r>
          </w:p>
        </w:tc>
      </w:tr>
      <w:tr w:rsidR="008E403F" w:rsidRPr="00514A44" w14:paraId="65BF8934" w14:textId="77777777" w:rsidTr="0004549C">
        <w:trPr>
          <w:trHeight w:val="128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1753" w14:textId="333D8F56" w:rsidR="008E403F" w:rsidRPr="00514A44" w:rsidRDefault="008E403F" w:rsidP="008E403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10.</w:t>
            </w: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8931" w14:textId="1FE21B09" w:rsidR="008E403F" w:rsidRPr="00514A44" w:rsidRDefault="008E403F" w:rsidP="008E403F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 xml:space="preserve">Ostali plasmani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005ED" w14:textId="5B44F91E" w:rsidR="008E403F" w:rsidRPr="00514A44" w:rsidRDefault="008E403F" w:rsidP="008E403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sz w:val="18"/>
                <w:szCs w:val="18"/>
              </w:rPr>
              <w:t>1</w:t>
            </w:r>
            <w:r w:rsidR="00D6652D" w:rsidRPr="00514A44">
              <w:rPr>
                <w:rFonts w:cs="Arial"/>
                <w:sz w:val="18"/>
                <w:szCs w:val="18"/>
              </w:rPr>
              <w:t>9</w:t>
            </w:r>
            <w:r w:rsidRPr="00514A44">
              <w:rPr>
                <w:rFonts w:cs="Arial"/>
                <w:sz w:val="18"/>
                <w:szCs w:val="18"/>
              </w:rPr>
              <w:t>.</w:t>
            </w:r>
            <w:r w:rsidR="00D6652D" w:rsidRPr="00514A44">
              <w:rPr>
                <w:rFonts w:cs="Arial"/>
                <w:sz w:val="18"/>
                <w:szCs w:val="18"/>
              </w:rPr>
              <w:t>798</w:t>
            </w:r>
            <w:r w:rsidRPr="00514A44">
              <w:rPr>
                <w:rFonts w:cs="Arial"/>
                <w:sz w:val="18"/>
                <w:szCs w:val="18"/>
              </w:rPr>
              <w:t>.000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028F1" w14:textId="4AEC920A" w:rsidR="008E403F" w:rsidRPr="00514A44" w:rsidRDefault="008E403F" w:rsidP="008E403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sz w:val="18"/>
                <w:szCs w:val="18"/>
              </w:rPr>
              <w:t>5.512.000</w:t>
            </w:r>
          </w:p>
        </w:tc>
      </w:tr>
      <w:tr w:rsidR="008E403F" w:rsidRPr="00514A44" w14:paraId="214D13D9" w14:textId="77777777" w:rsidTr="0004549C">
        <w:trPr>
          <w:trHeight w:val="201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7FFF8034" w14:textId="04C6E8E4" w:rsidR="008E403F" w:rsidRPr="00514A44" w:rsidRDefault="008E403F" w:rsidP="008E403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07E655D0" w14:textId="222848C5" w:rsidR="008E403F" w:rsidRPr="00514A44" w:rsidRDefault="008E403F" w:rsidP="008E403F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UKUPNO (III)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2A76B70C" w14:textId="6018169B" w:rsidR="008E403F" w:rsidRPr="00514A44" w:rsidRDefault="008E403F" w:rsidP="008E403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sz w:val="18"/>
                <w:szCs w:val="18"/>
              </w:rPr>
              <w:t>1.804.71</w:t>
            </w:r>
            <w:r w:rsidR="00D6652D" w:rsidRPr="00514A44">
              <w:rPr>
                <w:rFonts w:cs="Arial"/>
                <w:b/>
                <w:bCs/>
                <w:sz w:val="18"/>
                <w:szCs w:val="18"/>
              </w:rPr>
              <w:t>3</w:t>
            </w:r>
            <w:r w:rsidRPr="00514A44">
              <w:rPr>
                <w:rFonts w:cs="Arial"/>
                <w:b/>
                <w:bCs/>
                <w:sz w:val="18"/>
                <w:szCs w:val="18"/>
              </w:rPr>
              <w:t>.000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275920D3" w14:textId="7A2AE997" w:rsidR="008E403F" w:rsidRPr="00514A44" w:rsidRDefault="008E403F" w:rsidP="008E403F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sz w:val="18"/>
                <w:szCs w:val="18"/>
              </w:rPr>
              <w:t>1.430.632.000</w:t>
            </w:r>
          </w:p>
        </w:tc>
      </w:tr>
      <w:tr w:rsidR="008E403F" w:rsidRPr="00514A44" w14:paraId="6A9DB532" w14:textId="77777777" w:rsidTr="0004549C">
        <w:trPr>
          <w:trHeight w:val="300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24FF3377" w14:textId="18A83780" w:rsidR="008E403F" w:rsidRPr="00514A44" w:rsidRDefault="008E403F" w:rsidP="008E403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color w:val="000000"/>
                <w:sz w:val="18"/>
                <w:szCs w:val="18"/>
              </w:rPr>
              <w:t>IV</w:t>
            </w: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6D662894" w14:textId="49BB1362" w:rsidR="008E403F" w:rsidRPr="00514A44" w:rsidRDefault="008E403F" w:rsidP="008E403F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RAZLIKA IZVORA I PLASMANA (III-II)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032FB97E" w14:textId="1D8607F6" w:rsidR="008E403F" w:rsidRPr="00514A44" w:rsidRDefault="008E403F" w:rsidP="008E403F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sz w:val="18"/>
                <w:szCs w:val="18"/>
              </w:rPr>
              <w:t>(17.814.</w:t>
            </w:r>
            <w:r w:rsidR="00D6652D" w:rsidRPr="00514A44">
              <w:rPr>
                <w:rFonts w:cs="Arial"/>
                <w:b/>
                <w:bCs/>
                <w:sz w:val="18"/>
                <w:szCs w:val="18"/>
              </w:rPr>
              <w:t>886</w:t>
            </w:r>
            <w:r w:rsidRPr="00514A44"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58EBD6D6" w14:textId="6030E4C3" w:rsidR="008E403F" w:rsidRPr="00514A44" w:rsidRDefault="008E403F" w:rsidP="008E403F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sz w:val="18"/>
                <w:szCs w:val="18"/>
              </w:rPr>
              <w:t>1.96</w:t>
            </w:r>
            <w:r w:rsidR="00D6652D" w:rsidRPr="00514A44">
              <w:rPr>
                <w:rFonts w:cs="Arial"/>
                <w:b/>
                <w:bCs/>
                <w:sz w:val="18"/>
                <w:szCs w:val="18"/>
              </w:rPr>
              <w:t>8</w:t>
            </w:r>
            <w:r w:rsidRPr="00514A44">
              <w:rPr>
                <w:rFonts w:cs="Arial"/>
                <w:b/>
                <w:bCs/>
                <w:sz w:val="18"/>
                <w:szCs w:val="18"/>
              </w:rPr>
              <w:t>.</w:t>
            </w:r>
            <w:r w:rsidR="00D6652D" w:rsidRPr="00514A44">
              <w:rPr>
                <w:rFonts w:cs="Arial"/>
                <w:b/>
                <w:bCs/>
                <w:sz w:val="18"/>
                <w:szCs w:val="18"/>
              </w:rPr>
              <w:t>000</w:t>
            </w:r>
          </w:p>
        </w:tc>
      </w:tr>
      <w:tr w:rsidR="008E403F" w:rsidRPr="0030445F" w14:paraId="3AEE28BA" w14:textId="77777777" w:rsidTr="0004549C">
        <w:trPr>
          <w:trHeight w:val="300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3F3D2DC2" w14:textId="1029603B" w:rsidR="008E403F" w:rsidRPr="00514A44" w:rsidRDefault="008E403F" w:rsidP="008E403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29114937" w14:textId="031A2475" w:rsidR="008E403F" w:rsidRPr="00514A44" w:rsidRDefault="008E403F" w:rsidP="008E403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RASPOLOŽIVA SREDSTVA NA KRAJU RAZDOBLJA (I + IA+IV)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center"/>
          </w:tcPr>
          <w:p w14:paraId="17327F60" w14:textId="4413E0FD" w:rsidR="008E403F" w:rsidRPr="00514A44" w:rsidRDefault="008E403F" w:rsidP="008E403F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sz w:val="18"/>
                <w:szCs w:val="18"/>
              </w:rPr>
              <w:t>438.925.</w:t>
            </w:r>
            <w:r w:rsidR="00D6652D" w:rsidRPr="00514A44">
              <w:rPr>
                <w:rFonts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074D48CA" w14:textId="16630993" w:rsidR="008E403F" w:rsidRPr="008E403F" w:rsidRDefault="008E403F" w:rsidP="008E403F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sz w:val="18"/>
                <w:szCs w:val="18"/>
              </w:rPr>
              <w:t>440.893.000</w:t>
            </w:r>
          </w:p>
        </w:tc>
      </w:tr>
    </w:tbl>
    <w:p w14:paraId="3521BABA" w14:textId="77777777" w:rsidR="0004549C" w:rsidRDefault="0004549C" w:rsidP="00E02A27">
      <w:pPr>
        <w:tabs>
          <w:tab w:val="left" w:pos="-720"/>
        </w:tabs>
        <w:suppressAutoHyphens/>
        <w:spacing w:after="0" w:line="240" w:lineRule="auto"/>
        <w:ind w:right="-142"/>
        <w:jc w:val="both"/>
        <w:rPr>
          <w:rFonts w:eastAsia="Times New Roman" w:cs="Arial"/>
          <w:bCs/>
          <w:sz w:val="18"/>
          <w:szCs w:val="18"/>
          <w:u w:val="single"/>
        </w:rPr>
      </w:pPr>
    </w:p>
    <w:p w14:paraId="7BFC5BA6" w14:textId="27C113CF" w:rsidR="00A611EA" w:rsidRPr="005504D6" w:rsidRDefault="00A611EA" w:rsidP="00E02A27">
      <w:pPr>
        <w:tabs>
          <w:tab w:val="left" w:pos="-720"/>
        </w:tabs>
        <w:suppressAutoHyphens/>
        <w:spacing w:after="0" w:line="240" w:lineRule="auto"/>
        <w:ind w:right="-142"/>
        <w:jc w:val="both"/>
        <w:rPr>
          <w:rFonts w:eastAsia="Times New Roman" w:cs="Arial"/>
          <w:bCs/>
          <w:sz w:val="18"/>
          <w:szCs w:val="18"/>
        </w:rPr>
      </w:pPr>
      <w:r w:rsidRPr="005504D6">
        <w:rPr>
          <w:rFonts w:eastAsia="Times New Roman" w:cs="Arial"/>
          <w:bCs/>
          <w:sz w:val="18"/>
          <w:szCs w:val="18"/>
          <w:u w:val="single"/>
        </w:rPr>
        <w:t>Napomena:</w:t>
      </w:r>
      <w:r w:rsidRPr="005504D6">
        <w:rPr>
          <w:rFonts w:eastAsia="Times New Roman" w:cs="Arial"/>
          <w:bCs/>
          <w:sz w:val="18"/>
          <w:szCs w:val="18"/>
        </w:rPr>
        <w:t xml:space="preserve"> Izvještaj o novčanim tokovima (realizacija priljeva i odljeva) za potrebe izrade ovog izvještaja iskazan je temeljem mjesečnih priljeva i odljeva sredstava HBOR-a u trenutku stvarnog nastanka (direktna metoda) i razlikuje se od Izvještaja o novčanim tokovima iz financijskih izvještaja HBOR-a koji je sastavljen prema indirektnoj metodi. Naime, financijski plan HBOR-a i Grupe sastavlja se temeljem Plana priljeva i odljeva koji ne sadržava obračunske kategorije (obračuni tečajnih razlika i rezerviranja za moguće gubitke  po plasmanima za obračunsko razdoblje). Realizacija plana priljeva i odljeva prati se u odnosu na Plan priljeva i odljeva sastavljen na navedeni način, zbog čega se Izvještaj o novčanom toku daje u prilagođenom obliku.</w:t>
      </w:r>
      <w:r w:rsidR="00940CBF" w:rsidRPr="005504D6">
        <w:rPr>
          <w:rFonts w:eastAsia="Times New Roman" w:cs="Arial"/>
          <w:bCs/>
          <w:sz w:val="18"/>
          <w:szCs w:val="18"/>
        </w:rPr>
        <w:t xml:space="preserve"> </w:t>
      </w:r>
      <w:r w:rsidRPr="005504D6">
        <w:rPr>
          <w:rFonts w:eastAsia="Times New Roman" w:cs="Arial"/>
          <w:bCs/>
          <w:sz w:val="18"/>
          <w:szCs w:val="18"/>
        </w:rPr>
        <w:t>Raspoloživa sredstva HBOR-a sastoje se od sljedećih pozicija: Novčana sredstva i računi kod banaka + Depoziti kod drugih banaka + kratkoročni krediti i obrnuti repo poslovi financijskim institucijama + FI po fer vrijednosti kroz ostalu sveobuhvatnu dobit i FI po fer vrijednosti kroz dobit i</w:t>
      </w:r>
      <w:r w:rsidR="001C0DE7" w:rsidRPr="005504D6">
        <w:rPr>
          <w:rFonts w:eastAsia="Times New Roman" w:cs="Arial"/>
          <w:bCs/>
          <w:sz w:val="18"/>
          <w:szCs w:val="18"/>
        </w:rPr>
        <w:t>li</w:t>
      </w:r>
      <w:r w:rsidRPr="005504D6">
        <w:rPr>
          <w:rFonts w:eastAsia="Times New Roman" w:cs="Arial"/>
          <w:bCs/>
          <w:sz w:val="18"/>
          <w:szCs w:val="18"/>
        </w:rPr>
        <w:t xml:space="preserve"> gubit</w:t>
      </w:r>
      <w:r w:rsidR="001C0DE7" w:rsidRPr="005504D6">
        <w:rPr>
          <w:rFonts w:eastAsia="Times New Roman" w:cs="Arial"/>
          <w:bCs/>
          <w:sz w:val="18"/>
          <w:szCs w:val="18"/>
        </w:rPr>
        <w:t>ak</w:t>
      </w:r>
      <w:r w:rsidRPr="005504D6">
        <w:rPr>
          <w:rFonts w:eastAsia="Times New Roman" w:cs="Arial"/>
          <w:bCs/>
          <w:sz w:val="18"/>
          <w:szCs w:val="18"/>
        </w:rPr>
        <w:t xml:space="preserve">. </w:t>
      </w:r>
    </w:p>
    <w:p w14:paraId="6F71C10C" w14:textId="13F7FC0E" w:rsidR="007F5E2C" w:rsidRDefault="007F5E2C" w:rsidP="00E02A27">
      <w:pPr>
        <w:tabs>
          <w:tab w:val="left" w:pos="-72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sz w:val="20"/>
          <w:highlight w:val="cyan"/>
        </w:rPr>
      </w:pPr>
    </w:p>
    <w:p w14:paraId="2B8D6C45" w14:textId="77777777" w:rsidR="00A21432" w:rsidRPr="00CF5E94" w:rsidRDefault="00A21432" w:rsidP="00E02A27">
      <w:pPr>
        <w:tabs>
          <w:tab w:val="left" w:pos="-72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sz w:val="20"/>
          <w:highlight w:val="cyan"/>
        </w:rPr>
      </w:pPr>
    </w:p>
    <w:p w14:paraId="1B54EAA4" w14:textId="4FC72D32" w:rsidR="00A611EA" w:rsidRDefault="00A611EA" w:rsidP="00A611EA">
      <w:pPr>
        <w:tabs>
          <w:tab w:val="left" w:pos="-720"/>
        </w:tabs>
        <w:suppressAutoHyphens/>
        <w:spacing w:after="0" w:line="240" w:lineRule="auto"/>
        <w:ind w:left="-567" w:right="-709"/>
        <w:jc w:val="both"/>
        <w:rPr>
          <w:rFonts w:asciiTheme="minorHAnsi" w:eastAsia="Times New Roman" w:hAnsiTheme="minorHAnsi" w:cstheme="minorHAnsi"/>
          <w:bCs/>
          <w:sz w:val="20"/>
          <w:highlight w:val="cyan"/>
        </w:rPr>
      </w:pPr>
    </w:p>
    <w:p w14:paraId="271DAC49" w14:textId="163055C7" w:rsidR="00F4343F" w:rsidRDefault="00F4343F" w:rsidP="00A611EA">
      <w:pPr>
        <w:tabs>
          <w:tab w:val="left" w:pos="-720"/>
        </w:tabs>
        <w:suppressAutoHyphens/>
        <w:spacing w:after="0" w:line="240" w:lineRule="auto"/>
        <w:ind w:left="-567" w:right="-709"/>
        <w:jc w:val="both"/>
        <w:rPr>
          <w:rFonts w:asciiTheme="minorHAnsi" w:eastAsia="Times New Roman" w:hAnsiTheme="minorHAnsi" w:cstheme="minorHAnsi"/>
          <w:bCs/>
          <w:sz w:val="20"/>
          <w:highlight w:val="cyan"/>
        </w:rPr>
      </w:pPr>
    </w:p>
    <w:p w14:paraId="647B06E2" w14:textId="69224725" w:rsidR="00F4343F" w:rsidRDefault="00F4343F" w:rsidP="00A611EA">
      <w:pPr>
        <w:tabs>
          <w:tab w:val="left" w:pos="-720"/>
        </w:tabs>
        <w:suppressAutoHyphens/>
        <w:spacing w:after="0" w:line="240" w:lineRule="auto"/>
        <w:ind w:left="-567" w:right="-709"/>
        <w:jc w:val="both"/>
        <w:rPr>
          <w:rFonts w:asciiTheme="minorHAnsi" w:eastAsia="Times New Roman" w:hAnsiTheme="minorHAnsi" w:cstheme="minorHAnsi"/>
          <w:bCs/>
          <w:sz w:val="20"/>
          <w:highlight w:val="cyan"/>
        </w:rPr>
      </w:pPr>
    </w:p>
    <w:p w14:paraId="631054B2" w14:textId="53E09131" w:rsidR="00AC3418" w:rsidRDefault="00AC3418">
      <w:pPr>
        <w:rPr>
          <w:rFonts w:asciiTheme="minorHAnsi" w:eastAsia="Times New Roman" w:hAnsiTheme="minorHAnsi" w:cstheme="minorHAnsi"/>
          <w:bCs/>
          <w:sz w:val="20"/>
          <w:highlight w:val="cyan"/>
        </w:rPr>
      </w:pPr>
      <w:r>
        <w:rPr>
          <w:rFonts w:asciiTheme="minorHAnsi" w:eastAsia="Times New Roman" w:hAnsiTheme="minorHAnsi" w:cstheme="minorHAnsi"/>
          <w:bCs/>
          <w:sz w:val="20"/>
          <w:highlight w:val="cyan"/>
        </w:rPr>
        <w:br w:type="page"/>
      </w:r>
    </w:p>
    <w:p w14:paraId="2BF500B0" w14:textId="77777777" w:rsidR="007B022B" w:rsidRPr="00F91878" w:rsidRDefault="007B022B" w:rsidP="007B022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Arial"/>
          <w:b/>
          <w:sz w:val="20"/>
        </w:rPr>
      </w:pPr>
      <w:r w:rsidRPr="00F91878">
        <w:rPr>
          <w:rFonts w:cs="Arial"/>
          <w:b/>
          <w:sz w:val="20"/>
        </w:rPr>
        <w:lastRenderedPageBreak/>
        <w:t>Obrazloženje:</w:t>
      </w:r>
    </w:p>
    <w:p w14:paraId="71281D9A" w14:textId="77777777" w:rsidR="007B022B" w:rsidRPr="00F91878" w:rsidRDefault="007B022B" w:rsidP="007B022B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  <w:r w:rsidRPr="00F91878">
        <w:rPr>
          <w:rFonts w:eastAsia="Times New Roman" w:cs="Arial"/>
          <w:spacing w:val="-3"/>
          <w:sz w:val="20"/>
        </w:rPr>
        <w:t>U nastavku se daje pregled i objašnjenja značajnih promjena u financijskom položaju i uspješnosti poslovanja u planskom razdoblju.</w:t>
      </w:r>
    </w:p>
    <w:p w14:paraId="2B048998" w14:textId="77777777" w:rsidR="007B022B" w:rsidRPr="00F91878" w:rsidRDefault="007B022B" w:rsidP="007B022B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  <w:u w:val="single"/>
        </w:rPr>
      </w:pPr>
    </w:p>
    <w:p w14:paraId="681F4E61" w14:textId="77777777" w:rsidR="007B022B" w:rsidRPr="00F91878" w:rsidRDefault="007B022B" w:rsidP="007B022B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b/>
          <w:spacing w:val="-3"/>
          <w:sz w:val="20"/>
        </w:rPr>
      </w:pPr>
      <w:r w:rsidRPr="00F91878">
        <w:rPr>
          <w:rFonts w:eastAsia="Times New Roman" w:cs="Arial"/>
          <w:b/>
          <w:spacing w:val="-3"/>
          <w:sz w:val="20"/>
        </w:rPr>
        <w:t>Uspješnost poslovanja:</w:t>
      </w:r>
    </w:p>
    <w:p w14:paraId="140EC7FE" w14:textId="77777777" w:rsidR="007B022B" w:rsidRPr="00F91878" w:rsidRDefault="007B022B" w:rsidP="007B022B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b/>
          <w:i/>
          <w:spacing w:val="-3"/>
          <w:sz w:val="20"/>
        </w:rPr>
      </w:pPr>
    </w:p>
    <w:p w14:paraId="1073224F" w14:textId="77777777" w:rsidR="00AF6052" w:rsidRPr="00F91878" w:rsidRDefault="00AF6052" w:rsidP="00AF6052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b/>
          <w:spacing w:val="-3"/>
          <w:sz w:val="20"/>
        </w:rPr>
      </w:pPr>
      <w:r w:rsidRPr="00F91878">
        <w:rPr>
          <w:rFonts w:eastAsia="Times New Roman" w:cs="Arial"/>
          <w:b/>
          <w:spacing w:val="-3"/>
          <w:sz w:val="20"/>
        </w:rPr>
        <w:t xml:space="preserve">Ukupni prihodi </w:t>
      </w:r>
    </w:p>
    <w:p w14:paraId="2BF7E0F4" w14:textId="77777777" w:rsidR="00AF6052" w:rsidRPr="00F91878" w:rsidRDefault="00AF6052" w:rsidP="00AF6052">
      <w:pPr>
        <w:spacing w:after="0" w:line="240" w:lineRule="auto"/>
        <w:jc w:val="both"/>
        <w:rPr>
          <w:rFonts w:cs="Arial"/>
          <w:sz w:val="20"/>
        </w:rPr>
      </w:pPr>
      <w:r w:rsidRPr="00F91878">
        <w:rPr>
          <w:rFonts w:cs="Arial"/>
          <w:sz w:val="20"/>
        </w:rPr>
        <w:t>Ukupni prihodi u razdoblju od 1.1. do 31.12.</w:t>
      </w:r>
      <w:r>
        <w:rPr>
          <w:rFonts w:cs="Arial"/>
          <w:sz w:val="20"/>
        </w:rPr>
        <w:t>2024</w:t>
      </w:r>
      <w:r w:rsidRPr="00F91878">
        <w:rPr>
          <w:rFonts w:cs="Arial"/>
          <w:sz w:val="20"/>
        </w:rPr>
        <w:t xml:space="preserve">. godine planirani su u iznosu od </w:t>
      </w:r>
      <w:r>
        <w:rPr>
          <w:rFonts w:cs="Arial"/>
          <w:sz w:val="20"/>
        </w:rPr>
        <w:t>114</w:t>
      </w:r>
      <w:r w:rsidRPr="00F91878">
        <w:rPr>
          <w:rFonts w:cs="Arial"/>
          <w:sz w:val="20"/>
        </w:rPr>
        <w:t>.</w:t>
      </w:r>
      <w:r>
        <w:rPr>
          <w:rFonts w:cs="Arial"/>
          <w:sz w:val="20"/>
        </w:rPr>
        <w:t>212</w:t>
      </w:r>
      <w:r w:rsidRPr="00F91878">
        <w:rPr>
          <w:rFonts w:cs="Arial"/>
          <w:sz w:val="20"/>
        </w:rPr>
        <w:t xml:space="preserve"> tisuća </w:t>
      </w:r>
      <w:r>
        <w:rPr>
          <w:rFonts w:cs="Arial"/>
          <w:sz w:val="20"/>
        </w:rPr>
        <w:t>eura</w:t>
      </w:r>
      <w:r w:rsidRPr="00F91878">
        <w:rPr>
          <w:rFonts w:cs="Arial"/>
          <w:sz w:val="20"/>
        </w:rPr>
        <w:t xml:space="preserve"> i </w:t>
      </w:r>
      <w:r>
        <w:rPr>
          <w:rFonts w:cs="Arial"/>
          <w:sz w:val="20"/>
        </w:rPr>
        <w:t>viši</w:t>
      </w:r>
      <w:r w:rsidRPr="00F91878">
        <w:rPr>
          <w:rFonts w:cs="Arial"/>
          <w:sz w:val="20"/>
        </w:rPr>
        <w:t xml:space="preserve"> su za </w:t>
      </w:r>
      <w:r>
        <w:rPr>
          <w:rFonts w:cs="Arial"/>
          <w:sz w:val="20"/>
        </w:rPr>
        <w:t>12</w:t>
      </w:r>
      <w:r w:rsidRPr="00F91878">
        <w:rPr>
          <w:rFonts w:cs="Arial"/>
          <w:sz w:val="20"/>
        </w:rPr>
        <w:t>% u odnosu na plan za razdoblje 1.1. do 31.12.</w:t>
      </w:r>
      <w:r>
        <w:rPr>
          <w:rFonts w:cs="Arial"/>
          <w:sz w:val="20"/>
        </w:rPr>
        <w:t>2023</w:t>
      </w:r>
      <w:r w:rsidRPr="00F91878">
        <w:rPr>
          <w:rFonts w:cs="Arial"/>
          <w:sz w:val="20"/>
        </w:rPr>
        <w:t xml:space="preserve">.,  koji su planirani u iznosu od </w:t>
      </w:r>
      <w:r>
        <w:rPr>
          <w:rFonts w:cs="Arial"/>
          <w:sz w:val="20"/>
        </w:rPr>
        <w:t>102</w:t>
      </w:r>
      <w:r w:rsidRPr="00F91878">
        <w:rPr>
          <w:rFonts w:cs="Arial"/>
          <w:sz w:val="20"/>
        </w:rPr>
        <w:t>.</w:t>
      </w:r>
      <w:r>
        <w:rPr>
          <w:rFonts w:cs="Arial"/>
          <w:sz w:val="20"/>
        </w:rPr>
        <w:t>308</w:t>
      </w:r>
      <w:r w:rsidRPr="00F91878">
        <w:rPr>
          <w:rFonts w:cs="Arial"/>
          <w:sz w:val="20"/>
        </w:rPr>
        <w:t xml:space="preserve"> tisuća </w:t>
      </w:r>
      <w:r>
        <w:rPr>
          <w:rFonts w:cs="Arial"/>
          <w:sz w:val="20"/>
        </w:rPr>
        <w:t>eura</w:t>
      </w:r>
      <w:r w:rsidRPr="00F91878">
        <w:rPr>
          <w:rFonts w:cs="Arial"/>
          <w:sz w:val="20"/>
        </w:rPr>
        <w:t xml:space="preserve">. </w:t>
      </w:r>
    </w:p>
    <w:p w14:paraId="5F7DC994" w14:textId="77777777" w:rsidR="00AF6052" w:rsidRPr="00F91878" w:rsidRDefault="00AF6052" w:rsidP="00AF6052">
      <w:pPr>
        <w:spacing w:after="0" w:line="240" w:lineRule="auto"/>
        <w:jc w:val="both"/>
        <w:rPr>
          <w:rFonts w:cs="Arial"/>
          <w:sz w:val="20"/>
        </w:rPr>
      </w:pPr>
    </w:p>
    <w:p w14:paraId="77AB23E7" w14:textId="77777777" w:rsidR="00AF6052" w:rsidRPr="00F91878" w:rsidRDefault="00AF6052" w:rsidP="00AF6052">
      <w:pPr>
        <w:spacing w:after="0" w:line="240" w:lineRule="auto"/>
        <w:jc w:val="both"/>
        <w:rPr>
          <w:rFonts w:cs="Arial"/>
          <w:sz w:val="20"/>
        </w:rPr>
      </w:pPr>
      <w:r w:rsidRPr="00F91878">
        <w:rPr>
          <w:rFonts w:cs="Arial"/>
          <w:sz w:val="20"/>
        </w:rPr>
        <w:t>U strukturi ukupnih prihoda u razdoblju od 1.1. do 31.12.</w:t>
      </w:r>
      <w:r>
        <w:rPr>
          <w:rFonts w:cs="Arial"/>
          <w:sz w:val="20"/>
        </w:rPr>
        <w:t>2024</w:t>
      </w:r>
      <w:r w:rsidRPr="00F91878">
        <w:rPr>
          <w:rFonts w:cs="Arial"/>
          <w:sz w:val="20"/>
        </w:rPr>
        <w:t xml:space="preserve">. godine, planirani kamatni prihodi čine 94%, planirani prihodi od naknada i provizija </w:t>
      </w:r>
      <w:r>
        <w:rPr>
          <w:rFonts w:cs="Arial"/>
          <w:sz w:val="20"/>
        </w:rPr>
        <w:t>4</w:t>
      </w:r>
      <w:r w:rsidRPr="00F91878">
        <w:rPr>
          <w:rFonts w:cs="Arial"/>
          <w:sz w:val="20"/>
        </w:rPr>
        <w:t xml:space="preserve">% te ostali prihodi </w:t>
      </w:r>
      <w:r>
        <w:rPr>
          <w:rFonts w:cs="Arial"/>
          <w:sz w:val="20"/>
        </w:rPr>
        <w:t>2</w:t>
      </w:r>
      <w:r w:rsidRPr="00F91878">
        <w:rPr>
          <w:rFonts w:cs="Arial"/>
          <w:sz w:val="20"/>
        </w:rPr>
        <w:t xml:space="preserve">% ukupno planiranih prihoda HBOR-a (procjena u </w:t>
      </w:r>
      <w:r>
        <w:rPr>
          <w:rFonts w:cs="Arial"/>
          <w:sz w:val="20"/>
        </w:rPr>
        <w:t>2023</w:t>
      </w:r>
      <w:r w:rsidRPr="00F91878">
        <w:rPr>
          <w:rFonts w:cs="Arial"/>
          <w:sz w:val="20"/>
        </w:rPr>
        <w:t>. godini</w:t>
      </w:r>
      <w:r>
        <w:rPr>
          <w:rFonts w:cs="Arial"/>
          <w:sz w:val="20"/>
        </w:rPr>
        <w:t>:</w:t>
      </w:r>
      <w:r w:rsidRPr="00F91878">
        <w:rPr>
          <w:rFonts w:cs="Arial"/>
          <w:sz w:val="20"/>
        </w:rPr>
        <w:t xml:space="preserve"> kamatni prihodi = 9</w:t>
      </w:r>
      <w:r>
        <w:rPr>
          <w:rFonts w:cs="Arial"/>
          <w:sz w:val="20"/>
        </w:rPr>
        <w:t>3</w:t>
      </w:r>
      <w:r w:rsidRPr="00F91878">
        <w:rPr>
          <w:rFonts w:cs="Arial"/>
          <w:sz w:val="20"/>
        </w:rPr>
        <w:t xml:space="preserve">%, prihodi od naknada i provizija = </w:t>
      </w:r>
      <w:r>
        <w:rPr>
          <w:rFonts w:cs="Arial"/>
          <w:sz w:val="20"/>
        </w:rPr>
        <w:t>5</w:t>
      </w:r>
      <w:r w:rsidRPr="00F91878">
        <w:rPr>
          <w:rFonts w:cs="Arial"/>
          <w:sz w:val="20"/>
        </w:rPr>
        <w:t>%, ostali prihodi = 2% ukupno planiranih prihoda).</w:t>
      </w:r>
    </w:p>
    <w:p w14:paraId="7B8D5FC2" w14:textId="77777777" w:rsidR="00AF6052" w:rsidRPr="009F5E65" w:rsidRDefault="00AF6052" w:rsidP="00AF605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sz w:val="20"/>
        </w:rPr>
      </w:pPr>
      <w:r w:rsidRPr="00F91878">
        <w:rPr>
          <w:rFonts w:cs="Arial"/>
          <w:sz w:val="20"/>
        </w:rPr>
        <w:t xml:space="preserve">Prihodi od kamata u </w:t>
      </w:r>
      <w:r>
        <w:rPr>
          <w:rFonts w:cs="Arial"/>
          <w:sz w:val="20"/>
        </w:rPr>
        <w:t>2024</w:t>
      </w:r>
      <w:r w:rsidRPr="00F91878">
        <w:rPr>
          <w:rFonts w:cs="Arial"/>
          <w:sz w:val="20"/>
        </w:rPr>
        <w:t xml:space="preserve">. godini planirani su u iznosu od </w:t>
      </w:r>
      <w:r>
        <w:rPr>
          <w:rFonts w:cs="Arial"/>
          <w:sz w:val="20"/>
        </w:rPr>
        <w:t>106</w:t>
      </w:r>
      <w:r w:rsidRPr="00F91878">
        <w:rPr>
          <w:rFonts w:cs="Arial"/>
          <w:sz w:val="20"/>
        </w:rPr>
        <w:t>.</w:t>
      </w:r>
      <w:r>
        <w:rPr>
          <w:rFonts w:cs="Arial"/>
          <w:sz w:val="20"/>
        </w:rPr>
        <w:t>996</w:t>
      </w:r>
      <w:r w:rsidRPr="00F91878">
        <w:rPr>
          <w:rFonts w:cs="Arial"/>
          <w:sz w:val="20"/>
        </w:rPr>
        <w:t xml:space="preserve"> tisuća </w:t>
      </w:r>
      <w:r>
        <w:rPr>
          <w:rFonts w:cs="Arial"/>
          <w:sz w:val="20"/>
        </w:rPr>
        <w:t>eura</w:t>
      </w:r>
      <w:r w:rsidRPr="00F91878">
        <w:rPr>
          <w:rFonts w:cs="Arial"/>
          <w:sz w:val="20"/>
        </w:rPr>
        <w:t xml:space="preserve"> i </w:t>
      </w:r>
      <w:r>
        <w:rPr>
          <w:rFonts w:cs="Arial"/>
          <w:sz w:val="20"/>
        </w:rPr>
        <w:t>viši su za 13</w:t>
      </w:r>
      <w:r w:rsidRPr="00F91878">
        <w:rPr>
          <w:rFonts w:cs="Arial"/>
          <w:sz w:val="20"/>
        </w:rPr>
        <w:t xml:space="preserve">% u odnosu na planirane kamatne prihode u </w:t>
      </w:r>
      <w:r>
        <w:rPr>
          <w:rFonts w:cs="Arial"/>
          <w:sz w:val="20"/>
        </w:rPr>
        <w:t>2023</w:t>
      </w:r>
      <w:r w:rsidRPr="00F91878">
        <w:rPr>
          <w:rFonts w:cs="Arial"/>
          <w:sz w:val="20"/>
        </w:rPr>
        <w:t>. godini, a koji su planirani u iznosu od</w:t>
      </w:r>
      <w:r>
        <w:rPr>
          <w:rFonts w:cs="Arial"/>
          <w:sz w:val="20"/>
        </w:rPr>
        <w:t xml:space="preserve"> 94</w:t>
      </w:r>
      <w:r w:rsidRPr="00F91878">
        <w:rPr>
          <w:rFonts w:cs="Arial"/>
          <w:sz w:val="20"/>
        </w:rPr>
        <w:t>.</w:t>
      </w:r>
      <w:r>
        <w:rPr>
          <w:rFonts w:cs="Arial"/>
          <w:sz w:val="20"/>
        </w:rPr>
        <w:t>883</w:t>
      </w:r>
      <w:r w:rsidRPr="009F5E65">
        <w:rPr>
          <w:rFonts w:cs="Arial"/>
          <w:sz w:val="20"/>
        </w:rPr>
        <w:t xml:space="preserve"> tisuća eura.  </w:t>
      </w:r>
    </w:p>
    <w:p w14:paraId="799F85A4" w14:textId="77777777" w:rsidR="00AF6052" w:rsidRPr="009F5E65" w:rsidRDefault="00AF6052" w:rsidP="00AF605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Arial"/>
          <w:spacing w:val="-3"/>
          <w:sz w:val="20"/>
        </w:rPr>
      </w:pPr>
    </w:p>
    <w:p w14:paraId="77D6E1A1" w14:textId="77777777" w:rsidR="00AF6052" w:rsidRPr="009F5E65" w:rsidRDefault="00AF6052" w:rsidP="00AF605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sz w:val="20"/>
        </w:rPr>
      </w:pPr>
      <w:r w:rsidRPr="009F5E65">
        <w:rPr>
          <w:rFonts w:cs="Arial"/>
          <w:spacing w:val="-3"/>
          <w:sz w:val="20"/>
        </w:rPr>
        <w:t xml:space="preserve">Prihod od naknada i provizija planirani su u iznosu od </w:t>
      </w:r>
      <w:r>
        <w:rPr>
          <w:rFonts w:cs="Arial"/>
          <w:spacing w:val="-3"/>
          <w:sz w:val="20"/>
        </w:rPr>
        <w:t>4</w:t>
      </w:r>
      <w:r w:rsidRPr="009F5E65">
        <w:rPr>
          <w:rFonts w:cs="Arial"/>
          <w:spacing w:val="-3"/>
          <w:sz w:val="20"/>
        </w:rPr>
        <w:t>.</w:t>
      </w:r>
      <w:r>
        <w:rPr>
          <w:rFonts w:cs="Arial"/>
          <w:spacing w:val="-3"/>
          <w:sz w:val="20"/>
        </w:rPr>
        <w:t>794</w:t>
      </w:r>
      <w:r w:rsidRPr="009F5E65">
        <w:rPr>
          <w:rFonts w:cs="Arial"/>
          <w:spacing w:val="-3"/>
          <w:sz w:val="20"/>
        </w:rPr>
        <w:t xml:space="preserve"> tisuća eura i </w:t>
      </w:r>
      <w:r>
        <w:rPr>
          <w:rFonts w:cs="Arial"/>
          <w:spacing w:val="-3"/>
          <w:sz w:val="20"/>
        </w:rPr>
        <w:t>niži</w:t>
      </w:r>
      <w:r w:rsidRPr="009F5E65">
        <w:rPr>
          <w:rFonts w:cs="Arial"/>
          <w:spacing w:val="-3"/>
          <w:sz w:val="20"/>
        </w:rPr>
        <w:t xml:space="preserve"> su za </w:t>
      </w:r>
      <w:r>
        <w:rPr>
          <w:rFonts w:cs="Arial"/>
          <w:spacing w:val="-3"/>
          <w:sz w:val="20"/>
        </w:rPr>
        <w:t>9</w:t>
      </w:r>
      <w:r w:rsidRPr="009F5E65">
        <w:rPr>
          <w:rFonts w:cs="Arial"/>
          <w:spacing w:val="-3"/>
          <w:sz w:val="20"/>
        </w:rPr>
        <w:t xml:space="preserve">% u odnosu na plan za </w:t>
      </w:r>
      <w:r>
        <w:rPr>
          <w:rFonts w:cs="Arial"/>
          <w:spacing w:val="-3"/>
          <w:sz w:val="20"/>
        </w:rPr>
        <w:t>2023</w:t>
      </w:r>
      <w:r w:rsidRPr="009F5E65">
        <w:rPr>
          <w:rFonts w:cs="Arial"/>
          <w:spacing w:val="-3"/>
          <w:sz w:val="20"/>
        </w:rPr>
        <w:t xml:space="preserve">. </w:t>
      </w:r>
      <w:r w:rsidRPr="009F5E65">
        <w:rPr>
          <w:rFonts w:cs="Arial"/>
          <w:sz w:val="20"/>
        </w:rPr>
        <w:t xml:space="preserve">godinu. </w:t>
      </w:r>
    </w:p>
    <w:p w14:paraId="099AE3D7" w14:textId="77777777" w:rsidR="00AF6052" w:rsidRPr="00F91878" w:rsidRDefault="00AF6052" w:rsidP="00AF605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="Arial"/>
          <w:b/>
          <w:spacing w:val="-3"/>
          <w:sz w:val="20"/>
        </w:rPr>
      </w:pPr>
    </w:p>
    <w:p w14:paraId="16235672" w14:textId="77777777" w:rsidR="00AF6052" w:rsidRPr="00F91878" w:rsidRDefault="00AF6052" w:rsidP="00AF6052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b/>
          <w:spacing w:val="-3"/>
          <w:sz w:val="20"/>
        </w:rPr>
      </w:pPr>
      <w:r w:rsidRPr="00F91878">
        <w:rPr>
          <w:rFonts w:eastAsia="Times New Roman" w:cs="Arial"/>
          <w:b/>
          <w:spacing w:val="-3"/>
          <w:sz w:val="20"/>
        </w:rPr>
        <w:t xml:space="preserve">Ukupni rashodi </w:t>
      </w:r>
    </w:p>
    <w:p w14:paraId="64B814C0" w14:textId="77777777" w:rsidR="00AF6052" w:rsidRPr="00F91878" w:rsidRDefault="00AF6052" w:rsidP="00AF6052">
      <w:pPr>
        <w:spacing w:after="0" w:line="240" w:lineRule="auto"/>
        <w:jc w:val="both"/>
        <w:rPr>
          <w:rFonts w:eastAsia="Times New Roman" w:cs="Arial"/>
          <w:sz w:val="20"/>
        </w:rPr>
      </w:pPr>
      <w:r w:rsidRPr="00F91878">
        <w:rPr>
          <w:rFonts w:eastAsia="Times New Roman" w:cs="Arial"/>
          <w:sz w:val="20"/>
        </w:rPr>
        <w:t>Ukupni rashodi u razdoblju od 1.1. do 31.12.</w:t>
      </w:r>
      <w:r>
        <w:rPr>
          <w:rFonts w:eastAsia="Times New Roman" w:cs="Arial"/>
          <w:sz w:val="20"/>
        </w:rPr>
        <w:t>2024</w:t>
      </w:r>
      <w:r w:rsidRPr="00F91878">
        <w:rPr>
          <w:rFonts w:eastAsia="Times New Roman" w:cs="Arial"/>
          <w:sz w:val="20"/>
        </w:rPr>
        <w:t xml:space="preserve">. godine planirani su u iznosu od </w:t>
      </w:r>
      <w:r>
        <w:rPr>
          <w:rFonts w:eastAsia="Times New Roman" w:cs="Arial"/>
          <w:sz w:val="20"/>
        </w:rPr>
        <w:t>83</w:t>
      </w:r>
      <w:r w:rsidRPr="00F91878">
        <w:rPr>
          <w:rFonts w:eastAsia="Times New Roman" w:cs="Arial"/>
          <w:sz w:val="20"/>
        </w:rPr>
        <w:t>.</w:t>
      </w:r>
      <w:r>
        <w:rPr>
          <w:rFonts w:eastAsia="Times New Roman" w:cs="Arial"/>
          <w:sz w:val="20"/>
        </w:rPr>
        <w:t>347</w:t>
      </w:r>
      <w:r w:rsidRPr="00F91878">
        <w:rPr>
          <w:rFonts w:eastAsia="Times New Roman" w:cs="Arial"/>
          <w:sz w:val="20"/>
        </w:rPr>
        <w:t xml:space="preserve"> tisuć</w:t>
      </w:r>
      <w:r>
        <w:rPr>
          <w:rFonts w:eastAsia="Times New Roman" w:cs="Arial"/>
          <w:sz w:val="20"/>
        </w:rPr>
        <w:t>e</w:t>
      </w:r>
      <w:r w:rsidRPr="00F91878">
        <w:rPr>
          <w:rFonts w:eastAsia="Times New Roman" w:cs="Arial"/>
          <w:sz w:val="20"/>
        </w:rPr>
        <w:t xml:space="preserve"> eura</w:t>
      </w:r>
      <w:r>
        <w:rPr>
          <w:rFonts w:eastAsia="Times New Roman" w:cs="Arial"/>
          <w:sz w:val="20"/>
        </w:rPr>
        <w:t xml:space="preserve"> i </w:t>
      </w:r>
      <w:r w:rsidRPr="00F91878">
        <w:rPr>
          <w:rFonts w:eastAsia="Times New Roman" w:cs="Arial"/>
          <w:sz w:val="20"/>
        </w:rPr>
        <w:t xml:space="preserve"> </w:t>
      </w:r>
      <w:r>
        <w:rPr>
          <w:rFonts w:eastAsia="Times New Roman" w:cs="Arial"/>
          <w:sz w:val="20"/>
        </w:rPr>
        <w:t xml:space="preserve">viši </w:t>
      </w:r>
      <w:r w:rsidRPr="00F91878">
        <w:rPr>
          <w:rFonts w:eastAsia="Times New Roman" w:cs="Arial"/>
          <w:sz w:val="20"/>
        </w:rPr>
        <w:t>su za 1</w:t>
      </w:r>
      <w:r>
        <w:rPr>
          <w:rFonts w:eastAsia="Times New Roman" w:cs="Arial"/>
          <w:sz w:val="20"/>
        </w:rPr>
        <w:t>4</w:t>
      </w:r>
      <w:r w:rsidRPr="00F91878">
        <w:rPr>
          <w:rFonts w:eastAsia="Times New Roman" w:cs="Arial"/>
          <w:sz w:val="20"/>
        </w:rPr>
        <w:t xml:space="preserve">% u odnosu na plan </w:t>
      </w:r>
      <w:r>
        <w:rPr>
          <w:rFonts w:eastAsia="Times New Roman" w:cs="Arial"/>
          <w:sz w:val="20"/>
        </w:rPr>
        <w:t>2023</w:t>
      </w:r>
      <w:r w:rsidRPr="00F91878">
        <w:rPr>
          <w:rFonts w:eastAsia="Times New Roman" w:cs="Arial"/>
          <w:sz w:val="20"/>
        </w:rPr>
        <w:t xml:space="preserve">. godinu,  koji su planirani u iznosu od </w:t>
      </w:r>
      <w:r>
        <w:rPr>
          <w:rFonts w:eastAsia="Times New Roman" w:cs="Arial"/>
          <w:sz w:val="20"/>
        </w:rPr>
        <w:t>73.302</w:t>
      </w:r>
      <w:r w:rsidRPr="00F91878">
        <w:rPr>
          <w:rFonts w:eastAsia="Times New Roman" w:cs="Arial"/>
          <w:sz w:val="20"/>
        </w:rPr>
        <w:t xml:space="preserve"> tisuć</w:t>
      </w:r>
      <w:r>
        <w:rPr>
          <w:rFonts w:eastAsia="Times New Roman" w:cs="Arial"/>
          <w:sz w:val="20"/>
        </w:rPr>
        <w:t>e eura</w:t>
      </w:r>
      <w:r w:rsidRPr="00F91878">
        <w:rPr>
          <w:rFonts w:eastAsia="Times New Roman" w:cs="Arial"/>
          <w:sz w:val="20"/>
        </w:rPr>
        <w:t>.</w:t>
      </w:r>
    </w:p>
    <w:p w14:paraId="0500F294" w14:textId="77777777" w:rsidR="00AF6052" w:rsidRPr="00F91878" w:rsidRDefault="00AF6052" w:rsidP="00AF6052">
      <w:pPr>
        <w:spacing w:after="0" w:line="240" w:lineRule="auto"/>
        <w:jc w:val="both"/>
        <w:rPr>
          <w:rFonts w:eastAsia="Times New Roman" w:cs="Arial"/>
          <w:b/>
          <w:i/>
          <w:sz w:val="20"/>
        </w:rPr>
      </w:pPr>
    </w:p>
    <w:p w14:paraId="1066CFAA" w14:textId="77777777" w:rsidR="00AF6052" w:rsidRPr="00F91878" w:rsidRDefault="00AF6052" w:rsidP="00AF6052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  <w:r w:rsidRPr="00F91878">
        <w:rPr>
          <w:rFonts w:eastAsia="Times New Roman" w:cs="Arial"/>
          <w:spacing w:val="-3"/>
          <w:sz w:val="20"/>
        </w:rPr>
        <w:t xml:space="preserve">U strukturi ukupnih planiranih rashoda, planirani kamatni rashodi čine </w:t>
      </w:r>
      <w:r>
        <w:rPr>
          <w:rFonts w:eastAsia="Times New Roman" w:cs="Arial"/>
          <w:spacing w:val="-3"/>
          <w:sz w:val="20"/>
        </w:rPr>
        <w:t>55</w:t>
      </w:r>
      <w:r w:rsidRPr="00F91878">
        <w:rPr>
          <w:rFonts w:eastAsia="Times New Roman" w:cs="Arial"/>
          <w:spacing w:val="-3"/>
          <w:sz w:val="20"/>
        </w:rPr>
        <w:t xml:space="preserve">%, operativni troškovi </w:t>
      </w:r>
      <w:r>
        <w:rPr>
          <w:rFonts w:eastAsia="Times New Roman" w:cs="Arial"/>
          <w:spacing w:val="-3"/>
          <w:sz w:val="20"/>
        </w:rPr>
        <w:t xml:space="preserve"> 38</w:t>
      </w:r>
      <w:r w:rsidRPr="00F91878">
        <w:rPr>
          <w:rFonts w:eastAsia="Times New Roman" w:cs="Arial"/>
          <w:spacing w:val="-3"/>
          <w:sz w:val="20"/>
        </w:rPr>
        <w:t xml:space="preserve">%, gubitak od umanjenja vrijednosti i rezerviranja </w:t>
      </w:r>
      <w:r>
        <w:rPr>
          <w:rFonts w:eastAsia="Times New Roman" w:cs="Arial"/>
          <w:spacing w:val="-3"/>
          <w:sz w:val="20"/>
        </w:rPr>
        <w:t xml:space="preserve">6% te </w:t>
      </w:r>
      <w:r w:rsidRPr="00F91878">
        <w:rPr>
          <w:rFonts w:eastAsia="Times New Roman" w:cs="Arial"/>
          <w:spacing w:val="-3"/>
          <w:sz w:val="20"/>
        </w:rPr>
        <w:t xml:space="preserve">rashodi od naknada i provizija </w:t>
      </w:r>
      <w:r>
        <w:rPr>
          <w:rFonts w:eastAsia="Times New Roman" w:cs="Arial"/>
          <w:spacing w:val="-3"/>
          <w:sz w:val="20"/>
        </w:rPr>
        <w:t>1</w:t>
      </w:r>
      <w:r w:rsidRPr="00F91878">
        <w:rPr>
          <w:rFonts w:eastAsia="Times New Roman" w:cs="Arial"/>
          <w:spacing w:val="-3"/>
          <w:sz w:val="20"/>
        </w:rPr>
        <w:t xml:space="preserve">% ukupnih planiranih rashoda HBOR-a </w:t>
      </w:r>
      <w:r w:rsidRPr="00F91878">
        <w:rPr>
          <w:rFonts w:cs="Arial"/>
          <w:sz w:val="20"/>
        </w:rPr>
        <w:t xml:space="preserve">(procjena u </w:t>
      </w:r>
      <w:r>
        <w:rPr>
          <w:rFonts w:cs="Arial"/>
          <w:sz w:val="20"/>
        </w:rPr>
        <w:t>2023</w:t>
      </w:r>
      <w:r w:rsidRPr="00F91878">
        <w:rPr>
          <w:rFonts w:cs="Arial"/>
          <w:sz w:val="20"/>
        </w:rPr>
        <w:t>. godini</w:t>
      </w:r>
      <w:r>
        <w:rPr>
          <w:rFonts w:cs="Arial"/>
          <w:sz w:val="20"/>
        </w:rPr>
        <w:t>:</w:t>
      </w:r>
      <w:r w:rsidRPr="00F91878">
        <w:rPr>
          <w:rFonts w:cs="Arial"/>
          <w:sz w:val="20"/>
        </w:rPr>
        <w:t xml:space="preserve"> kamatni rashodi = 3</w:t>
      </w:r>
      <w:r>
        <w:rPr>
          <w:rFonts w:cs="Arial"/>
          <w:sz w:val="20"/>
        </w:rPr>
        <w:t>8</w:t>
      </w:r>
      <w:r w:rsidRPr="00F91878">
        <w:rPr>
          <w:rFonts w:cs="Arial"/>
          <w:sz w:val="20"/>
        </w:rPr>
        <w:t xml:space="preserve">%, </w:t>
      </w:r>
      <w:r w:rsidRPr="00F91878">
        <w:rPr>
          <w:rFonts w:eastAsia="Times New Roman" w:cs="Arial"/>
          <w:spacing w:val="-3"/>
          <w:sz w:val="20"/>
        </w:rPr>
        <w:t xml:space="preserve">operativni troškovi = </w:t>
      </w:r>
      <w:r>
        <w:rPr>
          <w:rFonts w:eastAsia="Times New Roman" w:cs="Arial"/>
          <w:spacing w:val="-3"/>
          <w:sz w:val="20"/>
        </w:rPr>
        <w:t>35</w:t>
      </w:r>
      <w:r w:rsidRPr="00F91878">
        <w:rPr>
          <w:rFonts w:eastAsia="Times New Roman" w:cs="Arial"/>
          <w:spacing w:val="-3"/>
          <w:sz w:val="20"/>
        </w:rPr>
        <w:t>%, gubitak od umanjenja vrijednosti i rezerviranja = 2</w:t>
      </w:r>
      <w:r>
        <w:rPr>
          <w:rFonts w:eastAsia="Times New Roman" w:cs="Arial"/>
          <w:spacing w:val="-3"/>
          <w:sz w:val="20"/>
        </w:rPr>
        <w:t>6</w:t>
      </w:r>
      <w:r w:rsidRPr="00F91878">
        <w:rPr>
          <w:rFonts w:eastAsia="Times New Roman" w:cs="Arial"/>
          <w:spacing w:val="-3"/>
          <w:sz w:val="20"/>
        </w:rPr>
        <w:t>% te rashodi od naknada i provizija = 1% ukupnih planiranih rashoda</w:t>
      </w:r>
      <w:r w:rsidRPr="00F91878">
        <w:rPr>
          <w:rFonts w:cs="Arial"/>
          <w:sz w:val="20"/>
        </w:rPr>
        <w:t>)</w:t>
      </w:r>
      <w:r w:rsidRPr="00F91878">
        <w:rPr>
          <w:rFonts w:eastAsia="Times New Roman" w:cs="Arial"/>
          <w:spacing w:val="-3"/>
          <w:sz w:val="20"/>
        </w:rPr>
        <w:t>.</w:t>
      </w:r>
    </w:p>
    <w:p w14:paraId="53397390" w14:textId="77777777" w:rsidR="00AF6052" w:rsidRPr="00AF6052" w:rsidRDefault="00AF6052" w:rsidP="00AF6052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18"/>
          <w:szCs w:val="18"/>
        </w:rPr>
      </w:pPr>
    </w:p>
    <w:p w14:paraId="5E134E1A" w14:textId="77777777" w:rsidR="00AF6052" w:rsidRPr="00F91878" w:rsidRDefault="00AF6052" w:rsidP="00AF6052">
      <w:pPr>
        <w:pStyle w:val="Default"/>
        <w:jc w:val="both"/>
        <w:rPr>
          <w:rFonts w:ascii="Arial" w:eastAsia="Times New Roman" w:hAnsi="Arial" w:cs="Arial"/>
          <w:spacing w:val="-3"/>
          <w:sz w:val="20"/>
          <w:szCs w:val="20"/>
        </w:rPr>
      </w:pPr>
      <w:r w:rsidRPr="00F91878">
        <w:rPr>
          <w:rFonts w:ascii="Arial" w:eastAsia="Times New Roman" w:hAnsi="Arial" w:cs="Arial"/>
          <w:spacing w:val="-3"/>
          <w:sz w:val="20"/>
          <w:szCs w:val="20"/>
        </w:rPr>
        <w:t xml:space="preserve">Rashodi od kamata planirani su u iznosu od </w:t>
      </w:r>
      <w:r>
        <w:rPr>
          <w:rFonts w:ascii="Arial" w:eastAsia="Times New Roman" w:hAnsi="Arial" w:cs="Arial"/>
          <w:spacing w:val="-3"/>
          <w:sz w:val="20"/>
          <w:szCs w:val="20"/>
        </w:rPr>
        <w:t>45</w:t>
      </w:r>
      <w:r w:rsidRPr="00F91878">
        <w:rPr>
          <w:rFonts w:ascii="Arial" w:eastAsia="Times New Roman" w:hAnsi="Arial" w:cs="Arial"/>
          <w:spacing w:val="-3"/>
          <w:sz w:val="20"/>
          <w:szCs w:val="20"/>
        </w:rPr>
        <w:t>.</w:t>
      </w:r>
      <w:r>
        <w:rPr>
          <w:rFonts w:ascii="Arial" w:eastAsia="Times New Roman" w:hAnsi="Arial" w:cs="Arial"/>
          <w:spacing w:val="-3"/>
          <w:sz w:val="20"/>
          <w:szCs w:val="20"/>
        </w:rPr>
        <w:t>901</w:t>
      </w:r>
      <w:r w:rsidRPr="00F91878">
        <w:rPr>
          <w:rFonts w:ascii="Arial" w:eastAsia="Times New Roman" w:hAnsi="Arial" w:cs="Arial"/>
          <w:spacing w:val="-3"/>
          <w:sz w:val="20"/>
          <w:szCs w:val="20"/>
        </w:rPr>
        <w:t xml:space="preserve"> tisuća eura i viši su za </w:t>
      </w:r>
      <w:r>
        <w:rPr>
          <w:rFonts w:ascii="Arial" w:eastAsia="Times New Roman" w:hAnsi="Arial" w:cs="Arial"/>
          <w:spacing w:val="-3"/>
          <w:sz w:val="20"/>
          <w:szCs w:val="20"/>
        </w:rPr>
        <w:t>66</w:t>
      </w:r>
      <w:r w:rsidRPr="00F91878">
        <w:rPr>
          <w:rFonts w:ascii="Arial" w:eastAsia="Times New Roman" w:hAnsi="Arial" w:cs="Arial"/>
          <w:spacing w:val="-3"/>
          <w:sz w:val="20"/>
          <w:szCs w:val="20"/>
        </w:rPr>
        <w:t xml:space="preserve">% u odnosu na plan </w:t>
      </w:r>
      <w:r>
        <w:rPr>
          <w:rFonts w:ascii="Arial" w:eastAsia="Times New Roman" w:hAnsi="Arial" w:cs="Arial"/>
          <w:spacing w:val="-3"/>
          <w:sz w:val="20"/>
          <w:szCs w:val="20"/>
        </w:rPr>
        <w:t>2023</w:t>
      </w:r>
      <w:r w:rsidRPr="00F91878">
        <w:rPr>
          <w:rFonts w:ascii="Arial" w:eastAsia="Times New Roman" w:hAnsi="Arial" w:cs="Arial"/>
          <w:spacing w:val="-3"/>
          <w:sz w:val="20"/>
          <w:szCs w:val="20"/>
        </w:rPr>
        <w:t>. godine, kao rezultat korištenja kreditnih linija posebnih financijskih institucija uz višu kamatnu stopu.</w:t>
      </w:r>
    </w:p>
    <w:p w14:paraId="25A81FC7" w14:textId="77777777" w:rsidR="00AF6052" w:rsidRPr="00F91878" w:rsidRDefault="00AF6052" w:rsidP="00AF6052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</w:p>
    <w:p w14:paraId="3DD7D116" w14:textId="77777777" w:rsidR="00AF6052" w:rsidRPr="00F91878" w:rsidRDefault="00AF6052" w:rsidP="00AF6052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z w:val="20"/>
        </w:rPr>
      </w:pPr>
      <w:r w:rsidRPr="00F91878">
        <w:rPr>
          <w:rFonts w:eastAsia="Times New Roman" w:cs="Arial"/>
          <w:sz w:val="20"/>
        </w:rPr>
        <w:t xml:space="preserve">Gubitak od umanjenja vrijednosti i rezerviranja planiran je u iznosu od </w:t>
      </w:r>
      <w:r>
        <w:rPr>
          <w:rFonts w:eastAsia="Times New Roman" w:cs="Arial"/>
          <w:sz w:val="20"/>
        </w:rPr>
        <w:t>5</w:t>
      </w:r>
      <w:r w:rsidRPr="00F91878">
        <w:rPr>
          <w:rFonts w:eastAsia="Times New Roman" w:cs="Arial"/>
          <w:sz w:val="20"/>
        </w:rPr>
        <w:t>.</w:t>
      </w:r>
      <w:r>
        <w:rPr>
          <w:rFonts w:eastAsia="Times New Roman" w:cs="Arial"/>
          <w:sz w:val="20"/>
        </w:rPr>
        <w:t>091</w:t>
      </w:r>
      <w:r w:rsidRPr="00C8645E">
        <w:rPr>
          <w:rFonts w:eastAsia="Times New Roman" w:cs="Arial"/>
          <w:sz w:val="20"/>
        </w:rPr>
        <w:t xml:space="preserve"> tisuć</w:t>
      </w:r>
      <w:r>
        <w:rPr>
          <w:rFonts w:eastAsia="Times New Roman" w:cs="Arial"/>
          <w:sz w:val="20"/>
        </w:rPr>
        <w:t>u</w:t>
      </w:r>
      <w:r w:rsidRPr="00C8645E">
        <w:rPr>
          <w:rFonts w:eastAsia="Times New Roman" w:cs="Arial"/>
          <w:sz w:val="20"/>
        </w:rPr>
        <w:t xml:space="preserve"> eura i niži </w:t>
      </w:r>
      <w:r w:rsidRPr="00F91878">
        <w:rPr>
          <w:rFonts w:eastAsia="Times New Roman" w:cs="Arial"/>
          <w:sz w:val="20"/>
        </w:rPr>
        <w:t xml:space="preserve">je za </w:t>
      </w:r>
      <w:r>
        <w:rPr>
          <w:rFonts w:eastAsia="Times New Roman" w:cs="Arial"/>
          <w:sz w:val="20"/>
        </w:rPr>
        <w:t>73</w:t>
      </w:r>
      <w:r w:rsidRPr="00F91878">
        <w:rPr>
          <w:rFonts w:eastAsia="Times New Roman" w:cs="Arial"/>
          <w:sz w:val="20"/>
        </w:rPr>
        <w:t xml:space="preserve">% u odnosu na u odnosu na planirani trošak za </w:t>
      </w:r>
      <w:r>
        <w:rPr>
          <w:rFonts w:eastAsia="Times New Roman" w:cs="Arial"/>
          <w:sz w:val="20"/>
        </w:rPr>
        <w:t>2023</w:t>
      </w:r>
      <w:r w:rsidRPr="00F91878">
        <w:rPr>
          <w:rFonts w:eastAsia="Times New Roman" w:cs="Arial"/>
          <w:sz w:val="20"/>
        </w:rPr>
        <w:t>. godinu</w:t>
      </w:r>
      <w:r w:rsidRPr="00084A53" w:rsidDel="00D173A4">
        <w:rPr>
          <w:rFonts w:eastAsia="Times New Roman" w:cs="Arial"/>
          <w:sz w:val="20"/>
        </w:rPr>
        <w:t xml:space="preserve"> </w:t>
      </w:r>
      <w:r w:rsidRPr="00F91878">
        <w:rPr>
          <w:rFonts w:eastAsia="Times New Roman" w:cs="Arial"/>
          <w:sz w:val="20"/>
        </w:rPr>
        <w:t>.</w:t>
      </w:r>
    </w:p>
    <w:p w14:paraId="1B7D10E3" w14:textId="77777777" w:rsidR="00AF6052" w:rsidRPr="00F91878" w:rsidRDefault="00AF6052" w:rsidP="00AF6052">
      <w:pPr>
        <w:tabs>
          <w:tab w:val="left" w:pos="284"/>
        </w:tabs>
        <w:spacing w:after="0" w:line="240" w:lineRule="auto"/>
        <w:jc w:val="both"/>
        <w:rPr>
          <w:rFonts w:cs="Arial"/>
          <w:sz w:val="20"/>
          <w:lang w:eastAsia="en-US"/>
        </w:rPr>
      </w:pPr>
    </w:p>
    <w:p w14:paraId="27FD8A6A" w14:textId="77777777" w:rsidR="00AF6052" w:rsidRPr="00C8645E" w:rsidRDefault="00AF6052" w:rsidP="00AF6052">
      <w:pPr>
        <w:tabs>
          <w:tab w:val="left" w:pos="-720"/>
        </w:tabs>
        <w:suppressAutoHyphens/>
        <w:spacing w:after="0" w:line="240" w:lineRule="auto"/>
        <w:jc w:val="both"/>
        <w:rPr>
          <w:rFonts w:cs="Arial"/>
          <w:spacing w:val="-3"/>
          <w:sz w:val="20"/>
        </w:rPr>
      </w:pPr>
      <w:r w:rsidRPr="00F91878">
        <w:rPr>
          <w:rFonts w:cs="Arial"/>
          <w:spacing w:val="-3"/>
          <w:sz w:val="20"/>
        </w:rPr>
        <w:t xml:space="preserve">Operativni troškovi </w:t>
      </w:r>
      <w:r w:rsidRPr="00C8645E">
        <w:rPr>
          <w:rFonts w:cs="Arial"/>
          <w:spacing w:val="-3"/>
          <w:sz w:val="20"/>
        </w:rPr>
        <w:t xml:space="preserve">obuhvaćaju opće i administrativne troškove te ostale troškove poslovanja, planirani su u iznosu od </w:t>
      </w:r>
      <w:r>
        <w:rPr>
          <w:rFonts w:cs="Arial"/>
          <w:spacing w:val="-3"/>
          <w:sz w:val="20"/>
        </w:rPr>
        <w:t>31</w:t>
      </w:r>
      <w:r w:rsidRPr="00C8645E">
        <w:rPr>
          <w:rFonts w:cs="Arial"/>
          <w:spacing w:val="-3"/>
          <w:sz w:val="20"/>
        </w:rPr>
        <w:t>.3</w:t>
      </w:r>
      <w:r>
        <w:rPr>
          <w:rFonts w:cs="Arial"/>
          <w:spacing w:val="-3"/>
          <w:sz w:val="20"/>
        </w:rPr>
        <w:t>35</w:t>
      </w:r>
      <w:r w:rsidRPr="00C8645E">
        <w:rPr>
          <w:rFonts w:cs="Arial"/>
          <w:spacing w:val="-3"/>
          <w:sz w:val="20"/>
        </w:rPr>
        <w:t xml:space="preserve"> tisuće eura i </w:t>
      </w:r>
      <w:r>
        <w:rPr>
          <w:rFonts w:cs="Arial"/>
          <w:spacing w:val="-3"/>
          <w:sz w:val="20"/>
        </w:rPr>
        <w:t xml:space="preserve">viši </w:t>
      </w:r>
      <w:r w:rsidRPr="00C8645E">
        <w:rPr>
          <w:rFonts w:cs="Arial"/>
          <w:spacing w:val="-3"/>
          <w:sz w:val="20"/>
        </w:rPr>
        <w:t xml:space="preserve">su za </w:t>
      </w:r>
      <w:r>
        <w:rPr>
          <w:rFonts w:cs="Arial"/>
          <w:spacing w:val="-3"/>
          <w:sz w:val="20"/>
        </w:rPr>
        <w:t>22</w:t>
      </w:r>
      <w:r w:rsidRPr="00C8645E">
        <w:rPr>
          <w:rFonts w:cs="Arial"/>
          <w:spacing w:val="-3"/>
          <w:sz w:val="20"/>
        </w:rPr>
        <w:t xml:space="preserve">% od planiranih operativnih troškova za </w:t>
      </w:r>
      <w:r>
        <w:rPr>
          <w:rFonts w:cs="Arial"/>
          <w:spacing w:val="-3"/>
          <w:sz w:val="20"/>
        </w:rPr>
        <w:t>2023</w:t>
      </w:r>
      <w:r w:rsidRPr="00C8645E">
        <w:rPr>
          <w:rFonts w:cs="Arial"/>
          <w:spacing w:val="-3"/>
          <w:sz w:val="20"/>
        </w:rPr>
        <w:t xml:space="preserve">. godinu. </w:t>
      </w:r>
    </w:p>
    <w:p w14:paraId="44B3D5F4" w14:textId="77777777" w:rsidR="00AF6052" w:rsidRPr="00C8645E" w:rsidRDefault="00AF6052" w:rsidP="00AF6052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  <w:highlight w:val="yellow"/>
        </w:rPr>
      </w:pPr>
    </w:p>
    <w:p w14:paraId="4223DC7D" w14:textId="77777777" w:rsidR="00AF6052" w:rsidRPr="00A3283D" w:rsidRDefault="00AF6052" w:rsidP="00AF6052">
      <w:pPr>
        <w:spacing w:after="0" w:line="240" w:lineRule="auto"/>
        <w:jc w:val="both"/>
        <w:rPr>
          <w:rFonts w:eastAsia="Times New Roman" w:cs="Arial"/>
          <w:sz w:val="20"/>
        </w:rPr>
      </w:pPr>
      <w:r w:rsidRPr="00F91878">
        <w:rPr>
          <w:rFonts w:eastAsia="Times New Roman" w:cs="Arial"/>
          <w:sz w:val="20"/>
        </w:rPr>
        <w:t xml:space="preserve">Sukladno navedenom, planirani poslovni rezultat HBOR-a za </w:t>
      </w:r>
      <w:r>
        <w:rPr>
          <w:rFonts w:eastAsia="Times New Roman" w:cs="Arial"/>
          <w:sz w:val="20"/>
        </w:rPr>
        <w:t>2024</w:t>
      </w:r>
      <w:r w:rsidRPr="00F91878">
        <w:rPr>
          <w:rFonts w:eastAsia="Times New Roman" w:cs="Arial"/>
          <w:sz w:val="20"/>
        </w:rPr>
        <w:t xml:space="preserve">. godinu iznosi </w:t>
      </w:r>
      <w:r>
        <w:rPr>
          <w:rFonts w:eastAsia="Times New Roman" w:cs="Arial"/>
          <w:sz w:val="20"/>
        </w:rPr>
        <w:t>30</w:t>
      </w:r>
      <w:r w:rsidRPr="00F91878">
        <w:rPr>
          <w:rFonts w:eastAsia="Times New Roman" w:cs="Arial"/>
          <w:sz w:val="20"/>
        </w:rPr>
        <w:t>.</w:t>
      </w:r>
      <w:r>
        <w:rPr>
          <w:rFonts w:eastAsia="Times New Roman" w:cs="Arial"/>
          <w:sz w:val="20"/>
        </w:rPr>
        <w:t>865</w:t>
      </w:r>
      <w:r w:rsidRPr="00F91878">
        <w:rPr>
          <w:rFonts w:eastAsia="Times New Roman" w:cs="Arial"/>
          <w:sz w:val="20"/>
        </w:rPr>
        <w:t xml:space="preserve"> tisuć</w:t>
      </w:r>
      <w:r>
        <w:rPr>
          <w:rFonts w:eastAsia="Times New Roman" w:cs="Arial"/>
          <w:sz w:val="20"/>
        </w:rPr>
        <w:t>a</w:t>
      </w:r>
      <w:r w:rsidRPr="00F91878">
        <w:rPr>
          <w:rFonts w:eastAsia="Times New Roman" w:cs="Arial"/>
          <w:sz w:val="20"/>
        </w:rPr>
        <w:t xml:space="preserve"> eura i za </w:t>
      </w:r>
      <w:r>
        <w:rPr>
          <w:rFonts w:eastAsia="Times New Roman" w:cs="Arial"/>
          <w:sz w:val="20"/>
        </w:rPr>
        <w:t>6</w:t>
      </w:r>
      <w:r w:rsidRPr="00F91878">
        <w:rPr>
          <w:rFonts w:eastAsia="Times New Roman" w:cs="Arial"/>
          <w:sz w:val="20"/>
        </w:rPr>
        <w:t xml:space="preserve">% je viši od planirane dobit za </w:t>
      </w:r>
      <w:r>
        <w:rPr>
          <w:rFonts w:eastAsia="Times New Roman" w:cs="Arial"/>
          <w:sz w:val="20"/>
        </w:rPr>
        <w:t>2023</w:t>
      </w:r>
      <w:r w:rsidRPr="00F91878">
        <w:rPr>
          <w:rFonts w:eastAsia="Times New Roman" w:cs="Arial"/>
          <w:sz w:val="20"/>
        </w:rPr>
        <w:t>. godinu</w:t>
      </w:r>
      <w:r>
        <w:rPr>
          <w:rFonts w:eastAsia="Times New Roman" w:cs="Arial"/>
          <w:sz w:val="20"/>
        </w:rPr>
        <w:t>.</w:t>
      </w:r>
      <w:r w:rsidRPr="00F91878">
        <w:rPr>
          <w:rFonts w:eastAsia="Times New Roman" w:cs="Arial"/>
          <w:sz w:val="20"/>
        </w:rPr>
        <w:t xml:space="preserve"> </w:t>
      </w:r>
    </w:p>
    <w:p w14:paraId="74CE81FF" w14:textId="77777777" w:rsidR="00AF6052" w:rsidRPr="00F91878" w:rsidRDefault="00AF6052" w:rsidP="00AF6052">
      <w:pPr>
        <w:spacing w:after="0" w:line="240" w:lineRule="auto"/>
        <w:jc w:val="both"/>
        <w:rPr>
          <w:rFonts w:eastAsia="Times New Roman" w:cs="Arial"/>
          <w:sz w:val="20"/>
          <w:highlight w:val="yellow"/>
        </w:rPr>
      </w:pPr>
    </w:p>
    <w:p w14:paraId="02900035" w14:textId="77777777" w:rsidR="007B022B" w:rsidRPr="00F91878" w:rsidRDefault="007B022B" w:rsidP="007B022B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b/>
          <w:spacing w:val="-3"/>
          <w:sz w:val="20"/>
        </w:rPr>
      </w:pPr>
      <w:r w:rsidRPr="00F91878">
        <w:rPr>
          <w:rFonts w:eastAsia="Times New Roman" w:cs="Arial"/>
          <w:b/>
          <w:spacing w:val="-3"/>
          <w:sz w:val="20"/>
        </w:rPr>
        <w:t>Izvještaj o financijskom položaju:</w:t>
      </w:r>
    </w:p>
    <w:p w14:paraId="69649870" w14:textId="77777777" w:rsidR="007B022B" w:rsidRPr="00AF6052" w:rsidRDefault="007B022B" w:rsidP="007B022B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16"/>
          <w:szCs w:val="16"/>
        </w:rPr>
      </w:pPr>
    </w:p>
    <w:p w14:paraId="533900D1" w14:textId="77777777" w:rsidR="007B022B" w:rsidRPr="00F91878" w:rsidRDefault="007B022B" w:rsidP="007B022B">
      <w:pPr>
        <w:spacing w:after="0" w:line="240" w:lineRule="auto"/>
        <w:jc w:val="both"/>
        <w:rPr>
          <w:rFonts w:cs="Arial"/>
          <w:spacing w:val="-3"/>
          <w:sz w:val="20"/>
        </w:rPr>
      </w:pPr>
      <w:r w:rsidRPr="00F91878">
        <w:rPr>
          <w:rFonts w:eastAsia="Times New Roman" w:cs="Arial"/>
          <w:b/>
          <w:i/>
          <w:spacing w:val="-3"/>
          <w:sz w:val="20"/>
        </w:rPr>
        <w:t>Ukupna imovina</w:t>
      </w:r>
    </w:p>
    <w:p w14:paraId="6EA40756" w14:textId="6101E23C" w:rsidR="00AF6052" w:rsidRPr="00F91878" w:rsidRDefault="00AF6052" w:rsidP="00AF6052">
      <w:pPr>
        <w:spacing w:after="0" w:line="240" w:lineRule="auto"/>
        <w:jc w:val="both"/>
        <w:rPr>
          <w:rFonts w:cs="Arial"/>
          <w:spacing w:val="-3"/>
          <w:sz w:val="20"/>
        </w:rPr>
      </w:pPr>
      <w:r w:rsidRPr="00F91878">
        <w:rPr>
          <w:rFonts w:cs="Arial"/>
          <w:spacing w:val="-3"/>
          <w:sz w:val="20"/>
        </w:rPr>
        <w:t>Ukupna planirana imovina HBOR-a na dan 31.12.</w:t>
      </w:r>
      <w:r>
        <w:rPr>
          <w:rFonts w:cs="Arial"/>
          <w:spacing w:val="-3"/>
          <w:sz w:val="20"/>
        </w:rPr>
        <w:t>2024</w:t>
      </w:r>
      <w:r w:rsidRPr="00F91878">
        <w:rPr>
          <w:rFonts w:cs="Arial"/>
          <w:spacing w:val="-3"/>
          <w:sz w:val="20"/>
        </w:rPr>
        <w:t xml:space="preserve">. iznosi </w:t>
      </w:r>
      <w:r>
        <w:rPr>
          <w:rFonts w:cs="Arial"/>
          <w:spacing w:val="-3"/>
          <w:sz w:val="20"/>
        </w:rPr>
        <w:t>4</w:t>
      </w:r>
      <w:r w:rsidRPr="00F91878">
        <w:rPr>
          <w:rFonts w:cs="Arial"/>
          <w:spacing w:val="-3"/>
          <w:sz w:val="20"/>
        </w:rPr>
        <w:t>.</w:t>
      </w:r>
      <w:r>
        <w:rPr>
          <w:rFonts w:cs="Arial"/>
          <w:spacing w:val="-3"/>
          <w:sz w:val="20"/>
        </w:rPr>
        <w:t>137</w:t>
      </w:r>
      <w:r w:rsidRPr="00F91878">
        <w:rPr>
          <w:rFonts w:cs="Arial"/>
          <w:spacing w:val="-3"/>
          <w:sz w:val="20"/>
        </w:rPr>
        <w:t>.</w:t>
      </w:r>
      <w:r>
        <w:rPr>
          <w:rFonts w:cs="Arial"/>
          <w:spacing w:val="-3"/>
          <w:sz w:val="20"/>
        </w:rPr>
        <w:t>442</w:t>
      </w:r>
      <w:r w:rsidRPr="00F91878">
        <w:rPr>
          <w:rFonts w:cs="Arial"/>
          <w:spacing w:val="-3"/>
          <w:sz w:val="20"/>
        </w:rPr>
        <w:t xml:space="preserve"> tisuć</w:t>
      </w:r>
      <w:r>
        <w:rPr>
          <w:rFonts w:cs="Arial"/>
          <w:spacing w:val="-3"/>
          <w:sz w:val="20"/>
        </w:rPr>
        <w:t>e</w:t>
      </w:r>
      <w:r w:rsidRPr="00F91878">
        <w:rPr>
          <w:rFonts w:cs="Arial"/>
          <w:spacing w:val="-3"/>
          <w:sz w:val="20"/>
        </w:rPr>
        <w:t xml:space="preserve"> </w:t>
      </w:r>
      <w:r w:rsidRPr="00CD6863">
        <w:rPr>
          <w:rFonts w:cs="Arial"/>
          <w:spacing w:val="-3"/>
          <w:sz w:val="20"/>
        </w:rPr>
        <w:t>eura</w:t>
      </w:r>
      <w:r w:rsidRPr="00F91878">
        <w:rPr>
          <w:rFonts w:cs="Arial"/>
          <w:spacing w:val="-3"/>
          <w:sz w:val="20"/>
        </w:rPr>
        <w:t xml:space="preserve"> i </w:t>
      </w:r>
      <w:r>
        <w:rPr>
          <w:rFonts w:cs="Arial"/>
          <w:spacing w:val="-3"/>
          <w:sz w:val="20"/>
        </w:rPr>
        <w:t>viša</w:t>
      </w:r>
      <w:r w:rsidRPr="00F91878">
        <w:rPr>
          <w:rFonts w:cs="Arial"/>
          <w:spacing w:val="-3"/>
          <w:sz w:val="20"/>
        </w:rPr>
        <w:t xml:space="preserve"> je za </w:t>
      </w:r>
      <w:r>
        <w:rPr>
          <w:rFonts w:cs="Arial"/>
          <w:spacing w:val="-3"/>
          <w:sz w:val="20"/>
        </w:rPr>
        <w:t>0,3</w:t>
      </w:r>
      <w:r w:rsidRPr="00F91878">
        <w:rPr>
          <w:rFonts w:cs="Arial"/>
          <w:spacing w:val="-3"/>
          <w:sz w:val="20"/>
        </w:rPr>
        <w:t xml:space="preserve">% u odnosu na plan za </w:t>
      </w:r>
      <w:r>
        <w:rPr>
          <w:rFonts w:cs="Arial"/>
          <w:spacing w:val="-3"/>
          <w:sz w:val="20"/>
        </w:rPr>
        <w:t>2023</w:t>
      </w:r>
      <w:r w:rsidRPr="00F91878">
        <w:rPr>
          <w:rFonts w:cs="Arial"/>
          <w:spacing w:val="-3"/>
          <w:sz w:val="20"/>
        </w:rPr>
        <w:t xml:space="preserve">. godinu </w:t>
      </w:r>
      <w:r w:rsidRPr="00EF6D3B">
        <w:rPr>
          <w:rFonts w:cs="Arial"/>
          <w:spacing w:val="-3"/>
          <w:sz w:val="20"/>
        </w:rPr>
        <w:t xml:space="preserve">kao rezultat </w:t>
      </w:r>
      <w:r>
        <w:rPr>
          <w:rFonts w:cs="Arial"/>
          <w:spacing w:val="-3"/>
          <w:sz w:val="20"/>
        </w:rPr>
        <w:t>povećanja  kredi</w:t>
      </w:r>
      <w:r w:rsidR="00527025">
        <w:rPr>
          <w:rFonts w:cs="Arial"/>
          <w:spacing w:val="-3"/>
          <w:sz w:val="20"/>
        </w:rPr>
        <w:t>tnih aktivnosti.</w:t>
      </w:r>
    </w:p>
    <w:p w14:paraId="25BA6F32" w14:textId="77777777" w:rsidR="00AF6052" w:rsidRPr="00F91878" w:rsidRDefault="00AF6052" w:rsidP="00AF6052">
      <w:pPr>
        <w:spacing w:after="0" w:line="240" w:lineRule="auto"/>
        <w:jc w:val="both"/>
        <w:rPr>
          <w:rFonts w:cs="Arial"/>
          <w:spacing w:val="-3"/>
          <w:sz w:val="20"/>
        </w:rPr>
      </w:pPr>
    </w:p>
    <w:p w14:paraId="7C489BDD" w14:textId="77777777" w:rsidR="00AF6052" w:rsidRPr="00514A44" w:rsidRDefault="00AF6052" w:rsidP="00AF6052">
      <w:pPr>
        <w:spacing w:after="0" w:line="240" w:lineRule="auto"/>
        <w:jc w:val="both"/>
        <w:rPr>
          <w:rFonts w:eastAsia="Times New Roman" w:cs="Arial"/>
          <w:spacing w:val="-3"/>
          <w:sz w:val="20"/>
        </w:rPr>
      </w:pPr>
      <w:r w:rsidRPr="00514A44">
        <w:rPr>
          <w:rFonts w:cs="Arial"/>
          <w:spacing w:val="-3"/>
          <w:sz w:val="20"/>
        </w:rPr>
        <w:t>Projekcija novčanih sredstava, depozita kod drugih banaka, financijske imovine po fer vrijednosti kroz dobit</w:t>
      </w:r>
      <w:r w:rsidRPr="00514A44">
        <w:rPr>
          <w:rFonts w:eastAsia="Times New Roman" w:cs="Arial"/>
          <w:spacing w:val="-3"/>
          <w:sz w:val="20"/>
        </w:rPr>
        <w:t xml:space="preserve"> ili gubitak i financijske imovine po fer vrijednosti kroz ostalu sveobuhvatnu dobit (OSD) kao</w:t>
      </w:r>
      <w:r w:rsidRPr="00514A44">
        <w:rPr>
          <w:rFonts w:eastAsia="Times New Roman" w:cs="Arial"/>
          <w:b/>
          <w:bCs/>
          <w:spacing w:val="-3"/>
          <w:sz w:val="20"/>
        </w:rPr>
        <w:t xml:space="preserve"> </w:t>
      </w:r>
      <w:r w:rsidRPr="00514A44">
        <w:rPr>
          <w:rFonts w:eastAsia="Times New Roman" w:cs="Arial"/>
          <w:spacing w:val="-3"/>
          <w:sz w:val="20"/>
        </w:rPr>
        <w:t>instrumenti za održavanje likvidnosti, planirani su u  iznosu  450.262 tisuću eura i niža su za 7% u odnosu na plan za 2023. godinu kada je planirana u iznosu od 486.296 tisuća eura.</w:t>
      </w:r>
    </w:p>
    <w:p w14:paraId="0890712A" w14:textId="77777777" w:rsidR="00AF6052" w:rsidRPr="00514A44" w:rsidRDefault="00AF6052" w:rsidP="00AF6052">
      <w:pPr>
        <w:spacing w:after="0" w:line="240" w:lineRule="auto"/>
        <w:jc w:val="both"/>
        <w:rPr>
          <w:rFonts w:eastAsia="Times New Roman" w:cs="Arial"/>
          <w:spacing w:val="-3"/>
          <w:sz w:val="20"/>
        </w:rPr>
      </w:pPr>
    </w:p>
    <w:p w14:paraId="2851FFBF" w14:textId="659B9E7F" w:rsidR="00AF6052" w:rsidRPr="00514A44" w:rsidRDefault="00AF6052" w:rsidP="00AF6052">
      <w:pPr>
        <w:spacing w:after="0" w:line="240" w:lineRule="auto"/>
        <w:jc w:val="both"/>
        <w:rPr>
          <w:rFonts w:cs="Arial"/>
          <w:spacing w:val="-3"/>
          <w:sz w:val="20"/>
        </w:rPr>
      </w:pPr>
      <w:r w:rsidRPr="00514A44">
        <w:rPr>
          <w:rFonts w:cs="Arial"/>
          <w:spacing w:val="-3"/>
          <w:sz w:val="20"/>
        </w:rPr>
        <w:t xml:space="preserve">Ukupni neto krediti u 2024. godini planirani su u iznosu od  3.655.015 tisuće eura i viša je za 1% u odnosu na neto kredite na dan 31.12.2023. koji su planirani u iznosu od  3.619.143 tisuća eura. Neto krediti na dan 31.12.2024. čine 88% ukupne imovine, a u 2023. godini također čine 88% ukupne imovine. Ukupni bruto krediti iskazani su u iznosu od </w:t>
      </w:r>
      <w:r w:rsidR="00FB79A0" w:rsidRPr="00514A44">
        <w:rPr>
          <w:rFonts w:cs="Arial"/>
          <w:spacing w:val="-3"/>
          <w:sz w:val="20"/>
        </w:rPr>
        <w:t>4</w:t>
      </w:r>
      <w:r w:rsidRPr="00514A44">
        <w:rPr>
          <w:rFonts w:cs="Arial"/>
          <w:spacing w:val="-3"/>
          <w:sz w:val="20"/>
        </w:rPr>
        <w:t>.</w:t>
      </w:r>
      <w:r w:rsidR="00FB79A0" w:rsidRPr="00514A44">
        <w:rPr>
          <w:rFonts w:cs="Arial"/>
          <w:spacing w:val="-3"/>
          <w:sz w:val="20"/>
        </w:rPr>
        <w:t>064</w:t>
      </w:r>
      <w:r w:rsidRPr="00514A44">
        <w:rPr>
          <w:rFonts w:cs="Arial"/>
          <w:spacing w:val="-3"/>
          <w:sz w:val="20"/>
        </w:rPr>
        <w:t xml:space="preserve"> </w:t>
      </w:r>
      <w:r w:rsidR="00FB79A0" w:rsidRPr="00514A44">
        <w:rPr>
          <w:rFonts w:cs="Arial"/>
          <w:spacing w:val="-3"/>
          <w:sz w:val="20"/>
        </w:rPr>
        <w:t>656</w:t>
      </w:r>
      <w:r w:rsidRPr="00514A44">
        <w:rPr>
          <w:rFonts w:cs="Arial"/>
          <w:spacing w:val="-3"/>
          <w:sz w:val="20"/>
        </w:rPr>
        <w:t xml:space="preserve"> tisuća eura</w:t>
      </w:r>
      <w:r w:rsidRPr="00514A44">
        <w:rPr>
          <w:spacing w:val="-3"/>
          <w:sz w:val="20"/>
        </w:rPr>
        <w:t xml:space="preserve"> i </w:t>
      </w:r>
      <w:r w:rsidR="006E7AA5" w:rsidRPr="00514A44">
        <w:rPr>
          <w:rFonts w:cs="Arial"/>
          <w:spacing w:val="-3"/>
          <w:sz w:val="20"/>
        </w:rPr>
        <w:t xml:space="preserve">11% su viši od </w:t>
      </w:r>
      <w:r w:rsidRPr="00514A44">
        <w:rPr>
          <w:rFonts w:cs="Arial"/>
          <w:spacing w:val="-3"/>
          <w:sz w:val="20"/>
        </w:rPr>
        <w:t>planiranih</w:t>
      </w:r>
      <w:r w:rsidRPr="00514A44">
        <w:rPr>
          <w:spacing w:val="-3"/>
          <w:sz w:val="20"/>
        </w:rPr>
        <w:t xml:space="preserve"> bruto </w:t>
      </w:r>
      <w:r w:rsidRPr="00514A44">
        <w:rPr>
          <w:rFonts w:cs="Arial"/>
          <w:spacing w:val="-3"/>
          <w:sz w:val="20"/>
        </w:rPr>
        <w:t>kredita</w:t>
      </w:r>
      <w:r w:rsidRPr="00514A44">
        <w:rPr>
          <w:spacing w:val="-3"/>
          <w:sz w:val="20"/>
        </w:rPr>
        <w:t xml:space="preserve"> na dan 31.12.2023. kada su iznosili </w:t>
      </w:r>
      <w:r w:rsidRPr="00514A44">
        <w:rPr>
          <w:rFonts w:cs="Arial"/>
          <w:spacing w:val="-3"/>
          <w:sz w:val="20"/>
        </w:rPr>
        <w:t>3.66</w:t>
      </w:r>
      <w:r w:rsidR="00FB79A0" w:rsidRPr="00514A44">
        <w:rPr>
          <w:rFonts w:cs="Arial"/>
          <w:spacing w:val="-3"/>
          <w:sz w:val="20"/>
        </w:rPr>
        <w:t>9</w:t>
      </w:r>
      <w:r w:rsidRPr="00514A44">
        <w:rPr>
          <w:rFonts w:cs="Arial"/>
          <w:spacing w:val="-3"/>
          <w:sz w:val="20"/>
        </w:rPr>
        <w:t>.</w:t>
      </w:r>
      <w:r w:rsidR="00FB79A0" w:rsidRPr="00514A44">
        <w:rPr>
          <w:rFonts w:cs="Arial"/>
          <w:spacing w:val="-3"/>
          <w:sz w:val="20"/>
        </w:rPr>
        <w:t>999</w:t>
      </w:r>
      <w:r w:rsidRPr="00514A44">
        <w:rPr>
          <w:rFonts w:cs="Arial"/>
          <w:spacing w:val="-3"/>
          <w:sz w:val="20"/>
        </w:rPr>
        <w:t xml:space="preserve"> tisuća eura.</w:t>
      </w:r>
    </w:p>
    <w:p w14:paraId="6CCD11A9" w14:textId="77777777" w:rsidR="00AF6052" w:rsidRPr="00514A44" w:rsidRDefault="00AF6052" w:rsidP="00AF6052">
      <w:pPr>
        <w:spacing w:after="0" w:line="240" w:lineRule="auto"/>
        <w:jc w:val="both"/>
        <w:rPr>
          <w:rFonts w:cs="Arial"/>
          <w:spacing w:val="-3"/>
          <w:sz w:val="20"/>
        </w:rPr>
      </w:pPr>
    </w:p>
    <w:p w14:paraId="122B60FB" w14:textId="78B278BA" w:rsidR="00AF6052" w:rsidRPr="006841D2" w:rsidRDefault="00AF6052" w:rsidP="00AF6052">
      <w:pPr>
        <w:spacing w:after="0" w:line="240" w:lineRule="auto"/>
        <w:jc w:val="both"/>
        <w:rPr>
          <w:rFonts w:eastAsia="Times New Roman" w:cs="Arial"/>
          <w:spacing w:val="-3"/>
          <w:sz w:val="20"/>
        </w:rPr>
        <w:sectPr w:rsidR="00AF6052" w:rsidRPr="006841D2" w:rsidSect="00E8484F">
          <w:footerReference w:type="default" r:id="rId11"/>
          <w:pgSz w:w="11906" w:h="16838"/>
          <w:pgMar w:top="1134" w:right="1417" w:bottom="1134" w:left="1417" w:header="708" w:footer="708" w:gutter="0"/>
          <w:cols w:space="708"/>
          <w:docGrid w:linePitch="360"/>
        </w:sectPr>
      </w:pPr>
      <w:r w:rsidRPr="00514A44">
        <w:rPr>
          <w:rFonts w:eastAsia="Times New Roman" w:cs="Arial"/>
          <w:spacing w:val="-3"/>
          <w:sz w:val="20"/>
        </w:rPr>
        <w:t>Na dan 31.12.2024. godine odnos kreditnih bruto plasmana putem financijskih institucija i izravnih plasmana čini 2</w:t>
      </w:r>
      <w:r w:rsidR="006E7AA5" w:rsidRPr="00514A44">
        <w:rPr>
          <w:rFonts w:eastAsia="Times New Roman" w:cs="Arial"/>
          <w:spacing w:val="-3"/>
          <w:sz w:val="20"/>
        </w:rPr>
        <w:t>9</w:t>
      </w:r>
      <w:r w:rsidRPr="00514A44">
        <w:rPr>
          <w:rFonts w:eastAsia="Times New Roman" w:cs="Arial"/>
          <w:spacing w:val="-3"/>
          <w:sz w:val="20"/>
        </w:rPr>
        <w:t>%</w:t>
      </w:r>
      <w:r w:rsidR="0066307D" w:rsidRPr="00514A44">
        <w:rPr>
          <w:rFonts w:eastAsia="Times New Roman" w:cs="Arial"/>
          <w:spacing w:val="-3"/>
          <w:sz w:val="20"/>
        </w:rPr>
        <w:t xml:space="preserve"> </w:t>
      </w:r>
      <w:r w:rsidRPr="00514A44">
        <w:rPr>
          <w:rFonts w:eastAsia="Times New Roman" w:cs="Arial"/>
          <w:spacing w:val="-3"/>
          <w:sz w:val="20"/>
        </w:rPr>
        <w:t>: 7</w:t>
      </w:r>
      <w:r w:rsidR="006E7AA5" w:rsidRPr="00514A44">
        <w:rPr>
          <w:rFonts w:eastAsia="Times New Roman" w:cs="Arial"/>
          <w:spacing w:val="-3"/>
          <w:sz w:val="20"/>
        </w:rPr>
        <w:t>1</w:t>
      </w:r>
      <w:r w:rsidRPr="00514A44">
        <w:rPr>
          <w:rFonts w:eastAsia="Times New Roman" w:cs="Arial"/>
          <w:spacing w:val="-3"/>
          <w:sz w:val="20"/>
        </w:rPr>
        <w:t>% (za 2023. godinu: 26% : 74%)</w:t>
      </w:r>
    </w:p>
    <w:p w14:paraId="4491D797" w14:textId="77777777" w:rsidR="007B022B" w:rsidRPr="00F91878" w:rsidRDefault="007B022B" w:rsidP="007B022B">
      <w:pPr>
        <w:suppressAutoHyphens/>
        <w:spacing w:after="0" w:line="240" w:lineRule="auto"/>
        <w:rPr>
          <w:rFonts w:eastAsia="Times New Roman" w:cs="Arial"/>
          <w:b/>
          <w:i/>
          <w:spacing w:val="-3"/>
          <w:sz w:val="20"/>
        </w:rPr>
      </w:pPr>
      <w:r w:rsidRPr="00F91878">
        <w:rPr>
          <w:rFonts w:eastAsia="Times New Roman" w:cs="Arial"/>
          <w:b/>
          <w:i/>
          <w:spacing w:val="-3"/>
          <w:sz w:val="20"/>
        </w:rPr>
        <w:lastRenderedPageBreak/>
        <w:t>Investicije</w:t>
      </w:r>
    </w:p>
    <w:p w14:paraId="14ACF081" w14:textId="77777777" w:rsidR="00AF6052" w:rsidRPr="00F91878" w:rsidRDefault="00AF6052" w:rsidP="00AF6052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  <w:r w:rsidRPr="00F91878">
        <w:rPr>
          <w:rFonts w:eastAsia="Times New Roman" w:cs="Arial"/>
          <w:spacing w:val="-3"/>
          <w:sz w:val="20"/>
        </w:rPr>
        <w:t xml:space="preserve">Investicije HBOR-a uključuju nabavu materijalne i nematerijalne imovine potrebne za obavljanje poslovanja HBOR-a. Za financiranje planiranih investicija u </w:t>
      </w:r>
      <w:r>
        <w:rPr>
          <w:rFonts w:eastAsia="Times New Roman" w:cs="Arial"/>
          <w:spacing w:val="-3"/>
          <w:sz w:val="20"/>
        </w:rPr>
        <w:t>2024</w:t>
      </w:r>
      <w:r w:rsidRPr="00F91878">
        <w:rPr>
          <w:rFonts w:eastAsia="Times New Roman" w:cs="Arial"/>
          <w:spacing w:val="-3"/>
          <w:sz w:val="20"/>
        </w:rPr>
        <w:t xml:space="preserve">. godini osigurana su vlastita sredstva HBOR-a. U razdoblju </w:t>
      </w:r>
      <w:r w:rsidRPr="00F91878">
        <w:rPr>
          <w:rFonts w:eastAsia="Times New Roman" w:cs="Arial"/>
          <w:sz w:val="20"/>
        </w:rPr>
        <w:t>od 1.1. do 31.12.</w:t>
      </w:r>
      <w:r>
        <w:rPr>
          <w:rFonts w:eastAsia="Times New Roman" w:cs="Arial"/>
          <w:sz w:val="20"/>
        </w:rPr>
        <w:t>2024</w:t>
      </w:r>
      <w:r w:rsidRPr="00F91878">
        <w:rPr>
          <w:rFonts w:eastAsia="Times New Roman" w:cs="Arial"/>
          <w:sz w:val="20"/>
        </w:rPr>
        <w:t>. godine</w:t>
      </w:r>
      <w:r w:rsidRPr="00F91878">
        <w:rPr>
          <w:rFonts w:eastAsia="Times New Roman" w:cs="Arial"/>
          <w:spacing w:val="-3"/>
          <w:sz w:val="20"/>
        </w:rPr>
        <w:t xml:space="preserve"> nabava materijalne i nematerijalne imovine planirana je u iznosu od </w:t>
      </w:r>
      <w:r>
        <w:rPr>
          <w:rFonts w:eastAsia="Times New Roman" w:cs="Arial"/>
          <w:spacing w:val="-3"/>
          <w:sz w:val="20"/>
        </w:rPr>
        <w:t>4.497</w:t>
      </w:r>
      <w:r w:rsidRPr="00F91878">
        <w:rPr>
          <w:rFonts w:eastAsia="Times New Roman" w:cs="Arial"/>
          <w:spacing w:val="-3"/>
          <w:sz w:val="20"/>
        </w:rPr>
        <w:t xml:space="preserve"> tisuć</w:t>
      </w:r>
      <w:r>
        <w:rPr>
          <w:rFonts w:eastAsia="Times New Roman" w:cs="Arial"/>
          <w:spacing w:val="-3"/>
          <w:sz w:val="20"/>
        </w:rPr>
        <w:t>e</w:t>
      </w:r>
      <w:r w:rsidRPr="00F91878">
        <w:rPr>
          <w:rFonts w:eastAsia="Times New Roman" w:cs="Arial"/>
          <w:spacing w:val="-3"/>
          <w:sz w:val="20"/>
        </w:rPr>
        <w:t xml:space="preserve"> eura i čini 0,1% ukupne imovine za </w:t>
      </w:r>
      <w:r>
        <w:rPr>
          <w:rFonts w:eastAsia="Times New Roman" w:cs="Arial"/>
          <w:spacing w:val="-3"/>
          <w:sz w:val="20"/>
        </w:rPr>
        <w:t>2024</w:t>
      </w:r>
      <w:r w:rsidRPr="00F91878">
        <w:rPr>
          <w:rFonts w:eastAsia="Times New Roman" w:cs="Arial"/>
          <w:spacing w:val="-3"/>
          <w:sz w:val="20"/>
        </w:rPr>
        <w:t>. godinu.</w:t>
      </w:r>
    </w:p>
    <w:p w14:paraId="49933B56" w14:textId="77777777" w:rsidR="00AF6052" w:rsidRPr="00F91878" w:rsidRDefault="00AF6052" w:rsidP="00AF6052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b/>
          <w:i/>
          <w:spacing w:val="-3"/>
          <w:sz w:val="20"/>
          <w:highlight w:val="yellow"/>
        </w:rPr>
      </w:pPr>
    </w:p>
    <w:p w14:paraId="30582E1B" w14:textId="77777777" w:rsidR="00AF6052" w:rsidRPr="00F91878" w:rsidRDefault="00AF6052" w:rsidP="00AF6052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b/>
          <w:i/>
          <w:spacing w:val="-3"/>
          <w:sz w:val="20"/>
        </w:rPr>
      </w:pPr>
      <w:r w:rsidRPr="00F91878">
        <w:rPr>
          <w:rFonts w:eastAsia="Times New Roman" w:cs="Arial"/>
          <w:b/>
          <w:i/>
          <w:spacing w:val="-3"/>
          <w:sz w:val="20"/>
        </w:rPr>
        <w:t>Ukupne obveze i kapital i rezerve</w:t>
      </w:r>
    </w:p>
    <w:p w14:paraId="41ED8FCF" w14:textId="77777777" w:rsidR="00AF6052" w:rsidRPr="00F91878" w:rsidRDefault="00AF6052" w:rsidP="00AF605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cs="Arial"/>
          <w:spacing w:val="-3"/>
          <w:sz w:val="20"/>
        </w:rPr>
      </w:pPr>
    </w:p>
    <w:p w14:paraId="51B2D569" w14:textId="77777777" w:rsidR="00AF6052" w:rsidRPr="00F91878" w:rsidRDefault="00AF6052" w:rsidP="00AF605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cs="Arial"/>
          <w:spacing w:val="-3"/>
          <w:sz w:val="20"/>
        </w:rPr>
      </w:pPr>
      <w:r w:rsidRPr="00F91878">
        <w:rPr>
          <w:rFonts w:cs="Arial"/>
          <w:spacing w:val="-3"/>
          <w:sz w:val="20"/>
        </w:rPr>
        <w:t>Stanje ukupnih planiranih obveza na dan 31.12.</w:t>
      </w:r>
      <w:r>
        <w:rPr>
          <w:rFonts w:cs="Arial"/>
          <w:spacing w:val="-3"/>
          <w:sz w:val="20"/>
        </w:rPr>
        <w:t>2024</w:t>
      </w:r>
      <w:r w:rsidRPr="00F91878">
        <w:rPr>
          <w:rFonts w:cs="Arial"/>
          <w:spacing w:val="-3"/>
          <w:sz w:val="20"/>
        </w:rPr>
        <w:t>. iznosi 2.</w:t>
      </w:r>
      <w:r>
        <w:rPr>
          <w:rFonts w:cs="Arial"/>
          <w:spacing w:val="-3"/>
          <w:sz w:val="20"/>
        </w:rPr>
        <w:t>650</w:t>
      </w:r>
      <w:r w:rsidRPr="00F91878">
        <w:rPr>
          <w:rFonts w:cs="Arial"/>
          <w:spacing w:val="-3"/>
          <w:sz w:val="20"/>
        </w:rPr>
        <w:t>.</w:t>
      </w:r>
      <w:r>
        <w:rPr>
          <w:rFonts w:cs="Arial"/>
          <w:spacing w:val="-3"/>
          <w:sz w:val="20"/>
        </w:rPr>
        <w:t>266</w:t>
      </w:r>
      <w:r w:rsidRPr="00F91878">
        <w:rPr>
          <w:rFonts w:cs="Arial"/>
          <w:spacing w:val="-3"/>
          <w:sz w:val="20"/>
        </w:rPr>
        <w:t xml:space="preserve"> tisuća eura i čini </w:t>
      </w:r>
      <w:r>
        <w:rPr>
          <w:rFonts w:cs="Arial"/>
          <w:spacing w:val="-3"/>
          <w:sz w:val="20"/>
        </w:rPr>
        <w:t>64</w:t>
      </w:r>
      <w:r w:rsidRPr="00F91878">
        <w:rPr>
          <w:rFonts w:cs="Arial"/>
          <w:spacing w:val="-3"/>
          <w:sz w:val="20"/>
        </w:rPr>
        <w:t xml:space="preserve">% ukupnih obveza i glavnice te bilježi smanjenje od 1% u odnosu na plan </w:t>
      </w:r>
      <w:r>
        <w:rPr>
          <w:rFonts w:cs="Arial"/>
          <w:spacing w:val="-3"/>
          <w:sz w:val="20"/>
        </w:rPr>
        <w:t>2023</w:t>
      </w:r>
      <w:r w:rsidRPr="00F91878">
        <w:rPr>
          <w:rFonts w:cs="Arial"/>
          <w:spacing w:val="-3"/>
          <w:sz w:val="20"/>
        </w:rPr>
        <w:t xml:space="preserve">. godine. </w:t>
      </w:r>
    </w:p>
    <w:p w14:paraId="54B1F57C" w14:textId="77777777" w:rsidR="00AF6052" w:rsidRPr="00F91878" w:rsidRDefault="00AF6052" w:rsidP="00AF6052">
      <w:pPr>
        <w:spacing w:after="0" w:line="240" w:lineRule="auto"/>
        <w:jc w:val="both"/>
        <w:rPr>
          <w:rFonts w:eastAsia="Times New Roman" w:cs="Arial"/>
          <w:b/>
          <w:i/>
          <w:spacing w:val="-3"/>
          <w:sz w:val="20"/>
          <w:highlight w:val="yellow"/>
        </w:rPr>
      </w:pPr>
    </w:p>
    <w:p w14:paraId="4A2375CE" w14:textId="77777777" w:rsidR="00AF6052" w:rsidRPr="00F91878" w:rsidRDefault="00AF6052" w:rsidP="00AF6052">
      <w:pPr>
        <w:spacing w:after="0" w:line="240" w:lineRule="auto"/>
        <w:jc w:val="both"/>
        <w:rPr>
          <w:rFonts w:cs="Arial"/>
          <w:spacing w:val="-3"/>
          <w:sz w:val="20"/>
        </w:rPr>
      </w:pPr>
      <w:r w:rsidRPr="00F91878">
        <w:rPr>
          <w:rFonts w:cs="Arial"/>
          <w:spacing w:val="-3"/>
          <w:sz w:val="20"/>
        </w:rPr>
        <w:t>Stanje duga na dan 31.12.</w:t>
      </w:r>
      <w:r>
        <w:rPr>
          <w:rFonts w:cs="Arial"/>
          <w:spacing w:val="-3"/>
          <w:sz w:val="20"/>
        </w:rPr>
        <w:t>2024</w:t>
      </w:r>
      <w:r w:rsidRPr="00F91878">
        <w:rPr>
          <w:rFonts w:cs="Arial"/>
          <w:spacing w:val="-3"/>
          <w:sz w:val="20"/>
        </w:rPr>
        <w:t xml:space="preserve">. planirano je u iznosu </w:t>
      </w:r>
      <w:r w:rsidRPr="00AB7B45">
        <w:rPr>
          <w:rFonts w:cs="Arial"/>
          <w:spacing w:val="-3"/>
          <w:sz w:val="20"/>
        </w:rPr>
        <w:t>od 2.346.680 tisuće eura i veće je za 1% u odnosu na 31.12.2023. kada je planirano u iznosu od  2.312.165 tisuće eura.</w:t>
      </w:r>
      <w:r w:rsidRPr="00F91878">
        <w:rPr>
          <w:rFonts w:cs="Arial"/>
          <w:spacing w:val="-3"/>
          <w:sz w:val="20"/>
        </w:rPr>
        <w:t xml:space="preserve"> </w:t>
      </w:r>
    </w:p>
    <w:p w14:paraId="4D6B3EEB" w14:textId="77777777" w:rsidR="00AF6052" w:rsidRPr="00F91878" w:rsidRDefault="00AF6052" w:rsidP="00AF6052">
      <w:pPr>
        <w:spacing w:after="0" w:line="240" w:lineRule="auto"/>
        <w:jc w:val="both"/>
        <w:rPr>
          <w:rFonts w:cs="Arial"/>
          <w:spacing w:val="-3"/>
          <w:sz w:val="20"/>
        </w:rPr>
      </w:pPr>
    </w:p>
    <w:p w14:paraId="2659AA78" w14:textId="77777777" w:rsidR="00AF6052" w:rsidRPr="00F91878" w:rsidRDefault="00AF6052" w:rsidP="00AF6052">
      <w:pPr>
        <w:spacing w:after="0" w:line="240" w:lineRule="auto"/>
        <w:jc w:val="both"/>
        <w:rPr>
          <w:rFonts w:eastAsia="Times New Roman" w:cs="Arial"/>
          <w:spacing w:val="-3"/>
          <w:sz w:val="20"/>
        </w:rPr>
      </w:pPr>
      <w:r w:rsidRPr="00F91878">
        <w:rPr>
          <w:rFonts w:eastAsia="Times New Roman" w:cs="Arial"/>
          <w:spacing w:val="-3"/>
          <w:sz w:val="20"/>
        </w:rPr>
        <w:t>Od ukupnog iznosa ukupnih obveza i kapitala i rezervi na ukupni kapital i rezerve se odnosi 1.450.984 tisuć</w:t>
      </w:r>
      <w:r>
        <w:rPr>
          <w:rFonts w:eastAsia="Times New Roman" w:cs="Arial"/>
          <w:spacing w:val="-3"/>
          <w:sz w:val="20"/>
        </w:rPr>
        <w:t>e</w:t>
      </w:r>
      <w:r w:rsidRPr="00F91878">
        <w:rPr>
          <w:rFonts w:eastAsia="Times New Roman" w:cs="Arial"/>
          <w:spacing w:val="-3"/>
          <w:sz w:val="20"/>
        </w:rPr>
        <w:t xml:space="preserve"> eura ili </w:t>
      </w:r>
      <w:r>
        <w:rPr>
          <w:rFonts w:eastAsia="Times New Roman" w:cs="Arial"/>
          <w:spacing w:val="-3"/>
          <w:sz w:val="20"/>
        </w:rPr>
        <w:t>36</w:t>
      </w:r>
      <w:r w:rsidRPr="00F91878">
        <w:rPr>
          <w:rFonts w:eastAsia="Times New Roman" w:cs="Arial"/>
          <w:spacing w:val="-3"/>
          <w:sz w:val="20"/>
        </w:rPr>
        <w:t>% ukupnih obveza i kapitala i rezervi i viš</w:t>
      </w:r>
      <w:r>
        <w:rPr>
          <w:rFonts w:eastAsia="Times New Roman" w:cs="Arial"/>
          <w:spacing w:val="-3"/>
          <w:sz w:val="20"/>
        </w:rPr>
        <w:t>i</w:t>
      </w:r>
      <w:r w:rsidRPr="00F91878">
        <w:rPr>
          <w:rFonts w:eastAsia="Times New Roman" w:cs="Arial"/>
          <w:spacing w:val="-3"/>
          <w:sz w:val="20"/>
        </w:rPr>
        <w:t xml:space="preserve"> je za 2% u odnosu na plan </w:t>
      </w:r>
      <w:r>
        <w:rPr>
          <w:rFonts w:eastAsia="Times New Roman" w:cs="Arial"/>
          <w:spacing w:val="-3"/>
          <w:sz w:val="20"/>
        </w:rPr>
        <w:t>2023</w:t>
      </w:r>
      <w:r w:rsidRPr="00F91878">
        <w:rPr>
          <w:rFonts w:eastAsia="Times New Roman" w:cs="Arial"/>
          <w:spacing w:val="-3"/>
          <w:sz w:val="20"/>
        </w:rPr>
        <w:t>. godine.</w:t>
      </w:r>
    </w:p>
    <w:p w14:paraId="58ED830D" w14:textId="77777777" w:rsidR="00AF6052" w:rsidRPr="00F91878" w:rsidRDefault="00AF6052" w:rsidP="00AF6052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</w:p>
    <w:p w14:paraId="2AC9722D" w14:textId="77777777" w:rsidR="00AF6052" w:rsidRPr="00F91878" w:rsidRDefault="00AF6052" w:rsidP="00AF6052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  <w:r w:rsidRPr="00F91878">
        <w:rPr>
          <w:rFonts w:eastAsia="Times New Roman" w:cs="Arial"/>
          <w:spacing w:val="-3"/>
          <w:sz w:val="20"/>
        </w:rPr>
        <w:t>Kapital HBOR-a čine osnivački kapital uplaćen iz proračuna Republike Hrvatske, zadržana dobit formirana iz ostvarene dobiti u prethodnim godinama, ostale rezerve te dobit tekućeg razdoblja.</w:t>
      </w:r>
    </w:p>
    <w:p w14:paraId="0D2DE3C5" w14:textId="77777777" w:rsidR="00AF6052" w:rsidRPr="00F91878" w:rsidRDefault="00AF6052" w:rsidP="00AF6052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</w:p>
    <w:p w14:paraId="3487B19E" w14:textId="4BB6D5E2" w:rsidR="00AF6052" w:rsidRPr="00F91878" w:rsidRDefault="00AF6052" w:rsidP="00AF6052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  <w:r w:rsidRPr="00F91878">
        <w:rPr>
          <w:rFonts w:eastAsia="Times New Roman" w:cs="Arial"/>
          <w:spacing w:val="-3"/>
          <w:sz w:val="20"/>
        </w:rPr>
        <w:t xml:space="preserve">Planirana uplata iz Državnog proračuna RH u osnivački kapital HBOR-a u </w:t>
      </w:r>
      <w:r>
        <w:rPr>
          <w:rFonts w:eastAsia="Times New Roman" w:cs="Arial"/>
          <w:spacing w:val="-3"/>
          <w:sz w:val="20"/>
        </w:rPr>
        <w:t>2024</w:t>
      </w:r>
      <w:r w:rsidRPr="00F91878">
        <w:rPr>
          <w:rFonts w:eastAsia="Times New Roman" w:cs="Arial"/>
          <w:spacing w:val="-3"/>
          <w:sz w:val="20"/>
        </w:rPr>
        <w:t xml:space="preserve">. </w:t>
      </w:r>
      <w:r w:rsidRPr="006D4F7C">
        <w:rPr>
          <w:rFonts w:eastAsia="Times New Roman" w:cs="Arial"/>
          <w:spacing w:val="-3"/>
          <w:sz w:val="20"/>
        </w:rPr>
        <w:t xml:space="preserve">godini iznosi </w:t>
      </w:r>
      <w:r w:rsidR="006D4F7C" w:rsidRPr="006D4F7C">
        <w:rPr>
          <w:rFonts w:eastAsia="Times New Roman" w:cs="Arial"/>
          <w:spacing w:val="-3"/>
          <w:sz w:val="20"/>
        </w:rPr>
        <w:t xml:space="preserve">3.000 </w:t>
      </w:r>
      <w:r w:rsidRPr="006D4F7C">
        <w:rPr>
          <w:rFonts w:eastAsia="Times New Roman" w:cs="Arial"/>
          <w:spacing w:val="-3"/>
          <w:sz w:val="20"/>
        </w:rPr>
        <w:t>tisuć</w:t>
      </w:r>
      <w:r w:rsidR="006D4F7C" w:rsidRPr="006D4F7C">
        <w:rPr>
          <w:rFonts w:eastAsia="Times New Roman" w:cs="Arial"/>
          <w:spacing w:val="-3"/>
          <w:sz w:val="20"/>
        </w:rPr>
        <w:t>e</w:t>
      </w:r>
      <w:r w:rsidRPr="006D4F7C">
        <w:rPr>
          <w:rFonts w:eastAsia="Times New Roman" w:cs="Arial"/>
          <w:spacing w:val="-3"/>
          <w:sz w:val="20"/>
        </w:rPr>
        <w:t xml:space="preserve"> eura.</w:t>
      </w:r>
      <w:r w:rsidRPr="00F91878">
        <w:rPr>
          <w:rFonts w:eastAsia="Times New Roman" w:cs="Arial"/>
          <w:spacing w:val="-3"/>
          <w:sz w:val="20"/>
        </w:rPr>
        <w:t xml:space="preserve"> </w:t>
      </w:r>
    </w:p>
    <w:p w14:paraId="54B5C4F3" w14:textId="77777777" w:rsidR="00AF6052" w:rsidRPr="00F91878" w:rsidRDefault="00AF6052" w:rsidP="00AF6052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</w:p>
    <w:p w14:paraId="5C519437" w14:textId="50B2C3E9" w:rsidR="00AF6052" w:rsidRPr="00514A44" w:rsidRDefault="00AF6052" w:rsidP="00AF6052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  <w:r w:rsidRPr="00514A44">
        <w:rPr>
          <w:rFonts w:eastAsia="Times New Roman" w:cs="Arial"/>
          <w:spacing w:val="-3"/>
          <w:sz w:val="20"/>
        </w:rPr>
        <w:t>Ukupno uplaćeni kapital iz proračuna Republike Hrvatske na dan 31.12.2024. planiran je u iznosu od 90</w:t>
      </w:r>
      <w:r w:rsidR="006D4F7C" w:rsidRPr="00514A44">
        <w:rPr>
          <w:rFonts w:eastAsia="Times New Roman" w:cs="Arial"/>
          <w:spacing w:val="-3"/>
          <w:sz w:val="20"/>
        </w:rPr>
        <w:t>4</w:t>
      </w:r>
      <w:r w:rsidRPr="00514A44">
        <w:rPr>
          <w:rFonts w:eastAsia="Times New Roman" w:cs="Arial"/>
          <w:spacing w:val="-3"/>
          <w:sz w:val="20"/>
        </w:rPr>
        <w:t>.</w:t>
      </w:r>
      <w:r w:rsidR="006D4F7C" w:rsidRPr="00514A44">
        <w:rPr>
          <w:rFonts w:eastAsia="Times New Roman" w:cs="Arial"/>
          <w:spacing w:val="-3"/>
          <w:sz w:val="20"/>
        </w:rPr>
        <w:t>904</w:t>
      </w:r>
      <w:r w:rsidRPr="00514A44">
        <w:rPr>
          <w:rFonts w:eastAsia="Times New Roman" w:cs="Arial"/>
          <w:spacing w:val="-3"/>
          <w:sz w:val="20"/>
        </w:rPr>
        <w:t xml:space="preserve"> tisuća eura te za uplatu do Zakonom o HBOR-u propisanog iznosa kapitala od 929.060 tisuća eura preostaje 2</w:t>
      </w:r>
      <w:r w:rsidR="006D4F7C" w:rsidRPr="00514A44">
        <w:rPr>
          <w:rFonts w:eastAsia="Times New Roman" w:cs="Arial"/>
          <w:spacing w:val="-3"/>
          <w:sz w:val="20"/>
        </w:rPr>
        <w:t>4</w:t>
      </w:r>
      <w:r w:rsidRPr="00514A44">
        <w:rPr>
          <w:rFonts w:eastAsia="Times New Roman" w:cs="Arial"/>
          <w:spacing w:val="-3"/>
          <w:sz w:val="20"/>
        </w:rPr>
        <w:t>.</w:t>
      </w:r>
      <w:r w:rsidR="006D4F7C" w:rsidRPr="00514A44">
        <w:rPr>
          <w:rFonts w:eastAsia="Times New Roman" w:cs="Arial"/>
          <w:spacing w:val="-3"/>
          <w:sz w:val="20"/>
        </w:rPr>
        <w:t>155</w:t>
      </w:r>
      <w:r w:rsidRPr="00514A44">
        <w:rPr>
          <w:rFonts w:eastAsia="Times New Roman" w:cs="Arial"/>
          <w:spacing w:val="-3"/>
          <w:sz w:val="20"/>
        </w:rPr>
        <w:t xml:space="preserve"> tisuća eura čiju dinamiku uplate iz Državnog proračuna određuje Vlada Republike Hrvatske. </w:t>
      </w:r>
    </w:p>
    <w:p w14:paraId="40AFD813" w14:textId="77777777" w:rsidR="00AF6052" w:rsidRPr="00514A44" w:rsidRDefault="00AF6052" w:rsidP="00AF6052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</w:p>
    <w:p w14:paraId="35011F6E" w14:textId="77777777" w:rsidR="00AF6052" w:rsidRPr="00F91878" w:rsidRDefault="00AF6052" w:rsidP="00AF6052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b/>
          <w:i/>
          <w:spacing w:val="-3"/>
          <w:sz w:val="20"/>
        </w:rPr>
      </w:pPr>
      <w:r w:rsidRPr="00514A44">
        <w:rPr>
          <w:rFonts w:eastAsia="Times New Roman" w:cs="Arial"/>
          <w:b/>
          <w:i/>
          <w:spacing w:val="-3"/>
          <w:sz w:val="20"/>
        </w:rPr>
        <w:t>Vlasnička struktura</w:t>
      </w:r>
    </w:p>
    <w:p w14:paraId="071F803A" w14:textId="77777777" w:rsidR="00AF6052" w:rsidRPr="00F91878" w:rsidRDefault="00AF6052" w:rsidP="00AF605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  <w:r w:rsidRPr="00F91878">
        <w:rPr>
          <w:rFonts w:eastAsia="Times New Roman" w:cs="Arial"/>
          <w:spacing w:val="-3"/>
          <w:sz w:val="20"/>
        </w:rPr>
        <w:t>Osnivač i 100%-tni vlasnik HBOR-a je Republika Hrvatska.</w:t>
      </w:r>
    </w:p>
    <w:p w14:paraId="5E86EC90" w14:textId="77777777" w:rsidR="00AF6052" w:rsidRPr="00F91878" w:rsidRDefault="00AF6052" w:rsidP="00AF6052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b/>
          <w:i/>
          <w:spacing w:val="-3"/>
          <w:sz w:val="20"/>
        </w:rPr>
      </w:pPr>
    </w:p>
    <w:p w14:paraId="792E32B1" w14:textId="77777777" w:rsidR="00AF6052" w:rsidRPr="00F91878" w:rsidRDefault="00AF6052" w:rsidP="00AF6052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b/>
          <w:i/>
          <w:spacing w:val="-3"/>
          <w:sz w:val="20"/>
        </w:rPr>
      </w:pPr>
      <w:r w:rsidRPr="00F91878">
        <w:rPr>
          <w:rFonts w:eastAsia="Times New Roman" w:cs="Arial"/>
          <w:b/>
          <w:i/>
          <w:spacing w:val="-3"/>
          <w:sz w:val="20"/>
        </w:rPr>
        <w:t>Plan restrukturiranja</w:t>
      </w:r>
    </w:p>
    <w:p w14:paraId="7C5B9D18" w14:textId="77777777" w:rsidR="00AF6052" w:rsidRPr="00F91878" w:rsidRDefault="00AF6052" w:rsidP="00AF6052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  <w:r w:rsidRPr="00F91878">
        <w:rPr>
          <w:rFonts w:eastAsia="Times New Roman" w:cs="Arial"/>
          <w:spacing w:val="-3"/>
          <w:sz w:val="20"/>
        </w:rPr>
        <w:t>HBOR u svim godinama poslovanja ostvaruje dobit, koja se prema odredbama Zakona o HBOR-u raspoređuje u kapital, čime se uvećava kapitalna osnovica i održava adekvatnost kapitala.</w:t>
      </w:r>
    </w:p>
    <w:p w14:paraId="1ADBB7F2" w14:textId="61A69807" w:rsidR="007B022B" w:rsidRPr="00F91878" w:rsidRDefault="00AF6052" w:rsidP="00AF6052">
      <w:pPr>
        <w:tabs>
          <w:tab w:val="left" w:pos="-720"/>
        </w:tabs>
        <w:suppressAutoHyphens/>
        <w:spacing w:after="0" w:line="240" w:lineRule="auto"/>
        <w:jc w:val="both"/>
        <w:rPr>
          <w:rFonts w:cs="Arial"/>
          <w:sz w:val="20"/>
        </w:rPr>
      </w:pPr>
      <w:r w:rsidRPr="00F91878">
        <w:rPr>
          <w:rFonts w:eastAsia="Times New Roman" w:cs="Arial"/>
          <w:spacing w:val="-3"/>
          <w:sz w:val="20"/>
        </w:rPr>
        <w:t>Zbog prirode, kao i uspješnosti svog dosadašnjeg poslovanja nema zahtjeva niti potreba za bilo kakvim operativnim ili financijskim restrukturiranje</w:t>
      </w:r>
      <w:r w:rsidRPr="00F91878">
        <w:rPr>
          <w:rFonts w:cs="Arial"/>
          <w:sz w:val="20"/>
        </w:rPr>
        <w:t>m</w:t>
      </w:r>
      <w:r w:rsidR="007B022B" w:rsidRPr="00F91878">
        <w:rPr>
          <w:rFonts w:cs="Arial"/>
          <w:sz w:val="20"/>
        </w:rPr>
        <w:t>.</w:t>
      </w:r>
    </w:p>
    <w:p w14:paraId="697F6AC5" w14:textId="5830060B" w:rsidR="00A21432" w:rsidRDefault="00A21432" w:rsidP="00A21432">
      <w:pPr>
        <w:tabs>
          <w:tab w:val="left" w:pos="-720"/>
        </w:tabs>
        <w:suppressAutoHyphens/>
        <w:spacing w:after="0" w:line="240" w:lineRule="auto"/>
        <w:jc w:val="both"/>
        <w:rPr>
          <w:rFonts w:cs="Arial"/>
          <w:sz w:val="20"/>
        </w:rPr>
      </w:pPr>
    </w:p>
    <w:p w14:paraId="4564C536" w14:textId="48F239F8" w:rsidR="00A21432" w:rsidRDefault="00A21432" w:rsidP="00A21432">
      <w:pPr>
        <w:tabs>
          <w:tab w:val="left" w:pos="-720"/>
        </w:tabs>
        <w:suppressAutoHyphens/>
        <w:spacing w:after="0" w:line="240" w:lineRule="auto"/>
        <w:jc w:val="both"/>
        <w:rPr>
          <w:rFonts w:cs="Arial"/>
          <w:sz w:val="20"/>
        </w:rPr>
      </w:pPr>
    </w:p>
    <w:p w14:paraId="0FA6B8F0" w14:textId="0A117A80" w:rsidR="00A21432" w:rsidRDefault="00A21432" w:rsidP="00A21432">
      <w:pPr>
        <w:tabs>
          <w:tab w:val="left" w:pos="-720"/>
        </w:tabs>
        <w:suppressAutoHyphens/>
        <w:spacing w:after="0" w:line="240" w:lineRule="auto"/>
        <w:jc w:val="both"/>
        <w:rPr>
          <w:rFonts w:cs="Arial"/>
          <w:sz w:val="20"/>
        </w:rPr>
      </w:pPr>
    </w:p>
    <w:p w14:paraId="5B953386" w14:textId="05E69046" w:rsidR="00A21432" w:rsidRDefault="00A21432" w:rsidP="00A21432">
      <w:pPr>
        <w:tabs>
          <w:tab w:val="left" w:pos="-720"/>
        </w:tabs>
        <w:suppressAutoHyphens/>
        <w:spacing w:after="0" w:line="240" w:lineRule="auto"/>
        <w:jc w:val="both"/>
        <w:rPr>
          <w:rFonts w:cs="Arial"/>
          <w:sz w:val="20"/>
        </w:rPr>
      </w:pPr>
    </w:p>
    <w:p w14:paraId="71C6ACE1" w14:textId="77777777" w:rsidR="00A21432" w:rsidRDefault="00A21432" w:rsidP="00A21432">
      <w:pPr>
        <w:tabs>
          <w:tab w:val="left" w:pos="-720"/>
        </w:tabs>
        <w:suppressAutoHyphens/>
        <w:spacing w:after="0" w:line="240" w:lineRule="auto"/>
        <w:jc w:val="both"/>
        <w:rPr>
          <w:rFonts w:cs="Arial"/>
          <w:sz w:val="20"/>
        </w:rPr>
        <w:sectPr w:rsidR="00A21432" w:rsidSect="005504D6">
          <w:footerReference w:type="default" r:id="rId12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0A565B7F" w14:textId="33ED2A8E" w:rsidR="006D2586" w:rsidRPr="005504D6" w:rsidRDefault="006D2586" w:rsidP="006D2586">
      <w:pPr>
        <w:tabs>
          <w:tab w:val="right" w:pos="6663"/>
        </w:tabs>
        <w:spacing w:after="0" w:line="240" w:lineRule="auto"/>
        <w:rPr>
          <w:rFonts w:cs="Arial"/>
          <w:b/>
          <w:sz w:val="20"/>
        </w:rPr>
      </w:pPr>
      <w:r w:rsidRPr="005504D6">
        <w:rPr>
          <w:rFonts w:cs="Arial"/>
          <w:b/>
          <w:sz w:val="20"/>
        </w:rPr>
        <w:lastRenderedPageBreak/>
        <w:t>2. S</w:t>
      </w:r>
      <w:r w:rsidR="00641DD1" w:rsidRPr="005504D6">
        <w:rPr>
          <w:rFonts w:cs="Arial"/>
          <w:b/>
          <w:sz w:val="20"/>
        </w:rPr>
        <w:t>rednjoročni</w:t>
      </w:r>
      <w:r w:rsidRPr="005504D6">
        <w:rPr>
          <w:rFonts w:cs="Arial"/>
          <w:b/>
          <w:sz w:val="20"/>
        </w:rPr>
        <w:t xml:space="preserve"> plan poslovanja za</w:t>
      </w:r>
      <w:r w:rsidR="00641DD1" w:rsidRPr="005504D6">
        <w:rPr>
          <w:rFonts w:cs="Arial"/>
          <w:b/>
          <w:sz w:val="20"/>
        </w:rPr>
        <w:t xml:space="preserve"> razdoblje od</w:t>
      </w:r>
      <w:r w:rsidR="00994A71" w:rsidRPr="005504D6">
        <w:rPr>
          <w:rFonts w:cs="Arial"/>
          <w:b/>
          <w:sz w:val="20"/>
        </w:rPr>
        <w:t xml:space="preserve"> 20</w:t>
      </w:r>
      <w:r w:rsidR="00CF135F" w:rsidRPr="005504D6">
        <w:rPr>
          <w:rFonts w:cs="Arial"/>
          <w:b/>
          <w:sz w:val="20"/>
        </w:rPr>
        <w:t>2</w:t>
      </w:r>
      <w:r w:rsidR="004B35D0">
        <w:rPr>
          <w:rFonts w:cs="Arial"/>
          <w:b/>
          <w:sz w:val="20"/>
        </w:rPr>
        <w:t>4</w:t>
      </w:r>
      <w:r w:rsidRPr="005504D6">
        <w:rPr>
          <w:rFonts w:cs="Arial"/>
          <w:b/>
          <w:sz w:val="20"/>
        </w:rPr>
        <w:t>.</w:t>
      </w:r>
      <w:r w:rsidR="00994A71" w:rsidRPr="005504D6">
        <w:rPr>
          <w:rFonts w:cs="Arial"/>
          <w:b/>
          <w:sz w:val="20"/>
        </w:rPr>
        <w:t xml:space="preserve"> do 202</w:t>
      </w:r>
      <w:r w:rsidR="004B35D0">
        <w:rPr>
          <w:rFonts w:cs="Arial"/>
          <w:b/>
          <w:sz w:val="20"/>
        </w:rPr>
        <w:t>6</w:t>
      </w:r>
      <w:r w:rsidR="00641DD1" w:rsidRPr="005504D6">
        <w:rPr>
          <w:rFonts w:cs="Arial"/>
          <w:b/>
          <w:sz w:val="20"/>
        </w:rPr>
        <w:t>. godine</w:t>
      </w:r>
      <w:r w:rsidRPr="005504D6">
        <w:rPr>
          <w:rFonts w:cs="Arial"/>
          <w:b/>
          <w:sz w:val="20"/>
        </w:rPr>
        <w:t>:</w:t>
      </w:r>
    </w:p>
    <w:p w14:paraId="2E00D315" w14:textId="77777777" w:rsidR="006D2586" w:rsidRPr="005504D6" w:rsidRDefault="006D2586" w:rsidP="006D258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</w:rPr>
      </w:pPr>
    </w:p>
    <w:p w14:paraId="70AE8C17" w14:textId="1691855E" w:rsidR="006D2586" w:rsidRDefault="006D2586" w:rsidP="005504D6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</w:rPr>
      </w:pPr>
      <w:r w:rsidRPr="005504D6">
        <w:rPr>
          <w:rFonts w:cs="Arial"/>
          <w:b/>
          <w:sz w:val="20"/>
        </w:rPr>
        <w:t xml:space="preserve">Plan </w:t>
      </w:r>
      <w:r w:rsidR="00CF135F" w:rsidRPr="005504D6">
        <w:rPr>
          <w:rFonts w:cs="Arial"/>
          <w:b/>
          <w:sz w:val="20"/>
        </w:rPr>
        <w:t>Račun dobiti i gubitka</w:t>
      </w:r>
      <w:r w:rsidRPr="005504D6">
        <w:rPr>
          <w:rFonts w:cs="Arial"/>
          <w:b/>
          <w:sz w:val="20"/>
        </w:rPr>
        <w:t xml:space="preserve"> HBOR-a za razdoblje od 1. siječnja do 31. prosinca i trendovi kretanja:</w:t>
      </w:r>
    </w:p>
    <w:p w14:paraId="4088D382" w14:textId="77777777" w:rsidR="00A21432" w:rsidRPr="005504D6" w:rsidRDefault="00A21432" w:rsidP="005504D6">
      <w:pPr>
        <w:pStyle w:val="ListParagraph"/>
        <w:autoSpaceDE w:val="0"/>
        <w:autoSpaceDN w:val="0"/>
        <w:adjustRightInd w:val="0"/>
        <w:spacing w:after="0" w:line="240" w:lineRule="auto"/>
        <w:ind w:left="644"/>
        <w:rPr>
          <w:rFonts w:cs="Arial"/>
          <w:b/>
          <w:sz w:val="20"/>
        </w:rPr>
      </w:pPr>
    </w:p>
    <w:tbl>
      <w:tblPr>
        <w:tblW w:w="5150" w:type="pct"/>
        <w:jc w:val="center"/>
        <w:tblLayout w:type="fixed"/>
        <w:tblLook w:val="04A0" w:firstRow="1" w:lastRow="0" w:firstColumn="1" w:lastColumn="0" w:noHBand="0" w:noVBand="1"/>
      </w:tblPr>
      <w:tblGrid>
        <w:gridCol w:w="1218"/>
        <w:gridCol w:w="1759"/>
        <w:gridCol w:w="1418"/>
        <w:gridCol w:w="1275"/>
        <w:gridCol w:w="1134"/>
        <w:gridCol w:w="1418"/>
        <w:gridCol w:w="1134"/>
        <w:gridCol w:w="1134"/>
        <w:gridCol w:w="1276"/>
        <w:gridCol w:w="1275"/>
        <w:gridCol w:w="1383"/>
      </w:tblGrid>
      <w:tr w:rsidR="007660A5" w:rsidRPr="00514A44" w14:paraId="47A3B463" w14:textId="77777777" w:rsidTr="00B0395A">
        <w:trPr>
          <w:trHeight w:val="45"/>
          <w:jc w:val="center"/>
        </w:trPr>
        <w:tc>
          <w:tcPr>
            <w:tcW w:w="1218" w:type="dxa"/>
            <w:tcBorders>
              <w:bottom w:val="nil"/>
            </w:tcBorders>
            <w:shd w:val="clear" w:color="000000" w:fill="FFFFFF"/>
            <w:vAlign w:val="bottom"/>
          </w:tcPr>
          <w:p w14:paraId="734148C9" w14:textId="77777777" w:rsidR="007660A5" w:rsidRPr="005504D6" w:rsidRDefault="007660A5" w:rsidP="00CB55F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3206" w:type="dxa"/>
            <w:gridSpan w:val="10"/>
            <w:tcBorders>
              <w:bottom w:val="nil"/>
            </w:tcBorders>
            <w:shd w:val="clear" w:color="000000" w:fill="FFFFFF"/>
            <w:noWrap/>
            <w:vAlign w:val="bottom"/>
            <w:hideMark/>
          </w:tcPr>
          <w:p w14:paraId="2A923FBB" w14:textId="77777777" w:rsidR="007660A5" w:rsidRPr="00514A44" w:rsidRDefault="007660A5" w:rsidP="00CB55F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RAČUN  DOBITI  I  GUBITKA</w:t>
            </w:r>
          </w:p>
        </w:tc>
      </w:tr>
      <w:tr w:rsidR="007660A5" w:rsidRPr="00514A44" w14:paraId="0480929D" w14:textId="77777777" w:rsidTr="00B0395A">
        <w:trPr>
          <w:trHeight w:val="52"/>
          <w:jc w:val="center"/>
        </w:trPr>
        <w:tc>
          <w:tcPr>
            <w:tcW w:w="1218" w:type="dxa"/>
            <w:tcBorders>
              <w:top w:val="nil"/>
              <w:bottom w:val="nil"/>
            </w:tcBorders>
            <w:shd w:val="clear" w:color="000000" w:fill="FFFFFF"/>
            <w:vAlign w:val="bottom"/>
          </w:tcPr>
          <w:p w14:paraId="6E4C106E" w14:textId="77777777" w:rsidR="007660A5" w:rsidRPr="00514A44" w:rsidRDefault="007660A5" w:rsidP="000840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3206" w:type="dxa"/>
            <w:gridSpan w:val="10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771F3D53" w14:textId="77777777" w:rsidR="007660A5" w:rsidRPr="00514A44" w:rsidRDefault="007660A5" w:rsidP="000840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za  razdoblje  od  1. siječnja  do 31. prosinca</w:t>
            </w:r>
          </w:p>
        </w:tc>
      </w:tr>
      <w:tr w:rsidR="00B94415" w:rsidRPr="00514A44" w14:paraId="423A2E26" w14:textId="77777777" w:rsidTr="000E10F0">
        <w:trPr>
          <w:trHeight w:val="147"/>
          <w:jc w:val="center"/>
        </w:trPr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9FBEF1A" w14:textId="77777777" w:rsidR="00B94415" w:rsidRPr="00514A44" w:rsidRDefault="00B94415" w:rsidP="00CF135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107883" w14:textId="77777777" w:rsidR="00B94415" w:rsidRPr="00514A44" w:rsidRDefault="00B94415" w:rsidP="00CF135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FEBF8AF" w14:textId="77777777" w:rsidR="00B94415" w:rsidRPr="00514A44" w:rsidRDefault="00B94415" w:rsidP="00CF135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AB002CD" w14:textId="77777777" w:rsidR="00B94415" w:rsidRPr="00514A44" w:rsidRDefault="00B94415" w:rsidP="000C1E9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685945" w14:textId="77777777" w:rsidR="00B94415" w:rsidRPr="00514A44" w:rsidRDefault="00B94415" w:rsidP="00CF135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35B45D" w14:textId="77777777" w:rsidR="00B94415" w:rsidRPr="00514A44" w:rsidRDefault="00B94415" w:rsidP="00CF135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5516D8" w14:textId="77777777" w:rsidR="00B94415" w:rsidRPr="00514A44" w:rsidRDefault="00B94415" w:rsidP="00CF135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5A4C1D" w14:textId="77777777" w:rsidR="00B94415" w:rsidRPr="00514A44" w:rsidRDefault="00B94415" w:rsidP="00CF135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265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E216" w14:textId="6C920DD1" w:rsidR="00B94415" w:rsidRPr="00514A44" w:rsidRDefault="00B94415" w:rsidP="00CF135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Cs/>
                <w:sz w:val="18"/>
                <w:szCs w:val="18"/>
              </w:rPr>
              <w:t>(u EUR, indeks)</w:t>
            </w:r>
          </w:p>
        </w:tc>
      </w:tr>
      <w:tr w:rsidR="001B0DA3" w:rsidRPr="00514A44" w14:paraId="084ABB87" w14:textId="77777777" w:rsidTr="000E07B7">
        <w:trPr>
          <w:trHeight w:val="147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7150F5" w14:textId="77777777" w:rsidR="00D20647" w:rsidRPr="00514A44" w:rsidRDefault="00D20647" w:rsidP="00CF135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3B8CFC" w14:textId="3B8FB389" w:rsidR="00D20647" w:rsidRPr="00514A44" w:rsidRDefault="00D20647" w:rsidP="00CF135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Ostvarenje 20</w:t>
            </w:r>
            <w:r w:rsidR="00D07168" w:rsidRPr="00514A44">
              <w:rPr>
                <w:rFonts w:eastAsia="Times New Roman" w:cs="Arial"/>
                <w:b/>
                <w:bCs/>
                <w:sz w:val="18"/>
                <w:szCs w:val="18"/>
              </w:rPr>
              <w:t>2</w:t>
            </w:r>
            <w:r w:rsidR="004B35D0" w:rsidRPr="00514A44">
              <w:rPr>
                <w:rFonts w:eastAsia="Times New Roman" w:cs="Arial"/>
                <w:b/>
                <w:bCs/>
                <w:sz w:val="18"/>
                <w:szCs w:val="18"/>
              </w:rPr>
              <w:t>1</w:t>
            </w: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.</w:t>
            </w:r>
            <w:r w:rsidR="001A48F9" w:rsidRPr="00514A44">
              <w:rPr>
                <w:rFonts w:eastAsia="Times New Roman" w:cs="Arial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9C9269" w14:textId="45B70C3F" w:rsidR="00D20647" w:rsidRPr="00514A44" w:rsidRDefault="00D20647" w:rsidP="00CF135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Ostvarenje 20</w:t>
            </w:r>
            <w:r w:rsidR="00F7452B" w:rsidRPr="00514A44">
              <w:rPr>
                <w:rFonts w:eastAsia="Times New Roman" w:cs="Arial"/>
                <w:b/>
                <w:bCs/>
                <w:sz w:val="18"/>
                <w:szCs w:val="18"/>
              </w:rPr>
              <w:t>2</w:t>
            </w:r>
            <w:r w:rsidR="004B35D0" w:rsidRPr="00514A44">
              <w:rPr>
                <w:rFonts w:eastAsia="Times New Roman" w:cs="Arial"/>
                <w:b/>
                <w:bCs/>
                <w:sz w:val="18"/>
                <w:szCs w:val="18"/>
              </w:rPr>
              <w:t>2</w:t>
            </w:r>
            <w:r w:rsidR="00C26E4D" w:rsidRPr="00514A44">
              <w:rPr>
                <w:rFonts w:eastAsia="Times New Roman" w:cs="Arial"/>
                <w:b/>
                <w:bCs/>
                <w:sz w:val="18"/>
                <w:szCs w:val="18"/>
              </w:rPr>
              <w:t>.</w:t>
            </w:r>
            <w:r w:rsidR="001A48F9" w:rsidRPr="00514A44">
              <w:rPr>
                <w:rFonts w:eastAsia="Times New Roman" w:cs="Arial"/>
                <w:b/>
                <w:bCs/>
                <w:sz w:val="18"/>
                <w:szCs w:val="18"/>
              </w:rPr>
              <w:t>*</w:t>
            </w:r>
            <w:r w:rsidR="00AF6052" w:rsidRPr="00514A44">
              <w:rPr>
                <w:rFonts w:eastAsia="Times New Roman" w:cs="Arial"/>
                <w:b/>
                <w:bCs/>
                <w:sz w:val="18"/>
                <w:szCs w:val="18"/>
              </w:rPr>
              <w:t>*</w:t>
            </w: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EA9B185" w14:textId="77777777" w:rsidR="000C1E95" w:rsidRPr="00514A44" w:rsidRDefault="00C26E4D" w:rsidP="000C1E9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Procjena</w:t>
            </w:r>
          </w:p>
          <w:p w14:paraId="6F0BFA07" w14:textId="24BB6FA6" w:rsidR="00D20647" w:rsidRPr="00514A44" w:rsidRDefault="000C1E95" w:rsidP="00AD40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20</w:t>
            </w:r>
            <w:r w:rsidR="00C26E4D" w:rsidRPr="00514A44">
              <w:rPr>
                <w:rFonts w:eastAsia="Times New Roman" w:cs="Arial"/>
                <w:b/>
                <w:bCs/>
                <w:sz w:val="18"/>
                <w:szCs w:val="18"/>
              </w:rPr>
              <w:t>2</w:t>
            </w:r>
            <w:r w:rsidR="004B35D0" w:rsidRPr="00514A44">
              <w:rPr>
                <w:rFonts w:eastAsia="Times New Roman" w:cs="Arial"/>
                <w:b/>
                <w:bCs/>
                <w:sz w:val="18"/>
                <w:szCs w:val="18"/>
              </w:rPr>
              <w:t>3</w:t>
            </w: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983E005" w14:textId="7531208A" w:rsidR="00D20647" w:rsidRPr="00514A44" w:rsidRDefault="00D20647" w:rsidP="00CF135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 xml:space="preserve">Trogodišnji </w:t>
            </w:r>
            <w:r w:rsidR="001A48F9" w:rsidRPr="00514A44">
              <w:rPr>
                <w:rFonts w:eastAsia="Times New Roman" w:cs="Arial"/>
                <w:b/>
                <w:bCs/>
                <w:sz w:val="18"/>
                <w:szCs w:val="18"/>
              </w:rPr>
              <w:sym w:font="Symbol" w:char="F0C6"/>
            </w: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br/>
              <w:t>20</w:t>
            </w:r>
            <w:r w:rsidR="00D07168" w:rsidRPr="00514A44">
              <w:rPr>
                <w:rFonts w:eastAsia="Times New Roman" w:cs="Arial"/>
                <w:b/>
                <w:bCs/>
                <w:sz w:val="18"/>
                <w:szCs w:val="18"/>
              </w:rPr>
              <w:t>2</w:t>
            </w:r>
            <w:r w:rsidR="004B35D0" w:rsidRPr="00514A44">
              <w:rPr>
                <w:rFonts w:eastAsia="Times New Roman" w:cs="Arial"/>
                <w:b/>
                <w:bCs/>
                <w:sz w:val="18"/>
                <w:szCs w:val="18"/>
              </w:rPr>
              <w:t>1</w:t>
            </w: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.-20</w:t>
            </w:r>
            <w:r w:rsidR="00C26E4D" w:rsidRPr="00514A44">
              <w:rPr>
                <w:rFonts w:eastAsia="Times New Roman" w:cs="Arial"/>
                <w:b/>
                <w:bCs/>
                <w:sz w:val="18"/>
                <w:szCs w:val="18"/>
              </w:rPr>
              <w:t>2</w:t>
            </w:r>
            <w:r w:rsidR="004B35D0" w:rsidRPr="00514A44">
              <w:rPr>
                <w:rFonts w:eastAsia="Times New Roman" w:cs="Arial"/>
                <w:b/>
                <w:bCs/>
                <w:sz w:val="18"/>
                <w:szCs w:val="18"/>
              </w:rPr>
              <w:t>3</w:t>
            </w: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35F4DD" w14:textId="1F19C275" w:rsidR="00D20647" w:rsidRPr="00514A44" w:rsidRDefault="00D20647" w:rsidP="00CF135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Plan za 202</w:t>
            </w:r>
            <w:r w:rsidR="004B35D0" w:rsidRPr="00514A44">
              <w:rPr>
                <w:rFonts w:eastAsia="Times New Roman" w:cs="Arial"/>
                <w:b/>
                <w:bCs/>
                <w:sz w:val="18"/>
                <w:szCs w:val="18"/>
              </w:rPr>
              <w:t>4</w:t>
            </w: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FF7BFC" w14:textId="1FDBEA6D" w:rsidR="00D20647" w:rsidRPr="00514A44" w:rsidRDefault="00D20647" w:rsidP="00CF135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Plan za 202</w:t>
            </w:r>
            <w:r w:rsidR="004B35D0" w:rsidRPr="00514A44">
              <w:rPr>
                <w:rFonts w:eastAsia="Times New Roman" w:cs="Arial"/>
                <w:b/>
                <w:bCs/>
                <w:sz w:val="18"/>
                <w:szCs w:val="18"/>
              </w:rPr>
              <w:t>5</w:t>
            </w: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4420C7" w14:textId="3C1C0A05" w:rsidR="00D20647" w:rsidRPr="00514A44" w:rsidRDefault="00D20647" w:rsidP="00CF135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Plan za 202</w:t>
            </w:r>
            <w:r w:rsidR="004B35D0" w:rsidRPr="00514A44">
              <w:rPr>
                <w:rFonts w:eastAsia="Times New Roman" w:cs="Arial"/>
                <w:b/>
                <w:bCs/>
                <w:sz w:val="18"/>
                <w:szCs w:val="18"/>
              </w:rPr>
              <w:t>6</w:t>
            </w: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3AA4EE8" w14:textId="25E2EEC5" w:rsidR="00D20647" w:rsidRPr="00514A44" w:rsidRDefault="00D20647" w:rsidP="00CF135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 xml:space="preserve">Trogodišnji </w:t>
            </w:r>
            <w:r w:rsidR="001A48F9" w:rsidRPr="00514A44">
              <w:rPr>
                <w:rFonts w:eastAsia="Times New Roman" w:cs="Arial"/>
                <w:b/>
                <w:bCs/>
                <w:sz w:val="18"/>
                <w:szCs w:val="18"/>
              </w:rPr>
              <w:sym w:font="Symbol" w:char="F0C6"/>
            </w: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br/>
              <w:t>202</w:t>
            </w:r>
            <w:r w:rsidR="004B35D0" w:rsidRPr="00514A44">
              <w:rPr>
                <w:rFonts w:eastAsia="Times New Roman" w:cs="Arial"/>
                <w:b/>
                <w:bCs/>
                <w:sz w:val="18"/>
                <w:szCs w:val="18"/>
              </w:rPr>
              <w:t>4</w:t>
            </w: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.-202</w:t>
            </w:r>
            <w:r w:rsidR="004B35D0" w:rsidRPr="00514A44">
              <w:rPr>
                <w:rFonts w:eastAsia="Times New Roman" w:cs="Arial"/>
                <w:b/>
                <w:bCs/>
                <w:sz w:val="18"/>
                <w:szCs w:val="18"/>
              </w:rPr>
              <w:t>6</w:t>
            </w: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2C97" w14:textId="77777777" w:rsidR="001B0DA3" w:rsidRPr="00514A44" w:rsidRDefault="001A48F9" w:rsidP="00CF135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 xml:space="preserve">Indeks </w:t>
            </w:r>
          </w:p>
          <w:p w14:paraId="5661F251" w14:textId="038FE8F5" w:rsidR="001A48F9" w:rsidRPr="00514A44" w:rsidRDefault="009E26B3" w:rsidP="00CF135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sym w:font="Symbol" w:char="F0C6"/>
            </w:r>
            <w:r w:rsidR="00D20647" w:rsidRPr="00514A44">
              <w:rPr>
                <w:rFonts w:eastAsia="Times New Roman" w:cs="Arial"/>
                <w:b/>
                <w:bCs/>
                <w:sz w:val="18"/>
                <w:szCs w:val="18"/>
              </w:rPr>
              <w:t>2</w:t>
            </w:r>
            <w:r w:rsidR="004B35D0" w:rsidRPr="00514A44">
              <w:rPr>
                <w:rFonts w:eastAsia="Times New Roman" w:cs="Arial"/>
                <w:b/>
                <w:bCs/>
                <w:sz w:val="18"/>
                <w:szCs w:val="18"/>
              </w:rPr>
              <w:t>4</w:t>
            </w:r>
            <w:r w:rsidR="00D20647" w:rsidRPr="00514A44">
              <w:rPr>
                <w:rFonts w:eastAsia="Times New Roman" w:cs="Arial"/>
                <w:b/>
                <w:bCs/>
                <w:sz w:val="18"/>
                <w:szCs w:val="18"/>
              </w:rPr>
              <w:t>.-'2</w:t>
            </w:r>
            <w:r w:rsidR="004B35D0" w:rsidRPr="00514A44">
              <w:rPr>
                <w:rFonts w:eastAsia="Times New Roman" w:cs="Arial"/>
                <w:b/>
                <w:bCs/>
                <w:sz w:val="18"/>
                <w:szCs w:val="18"/>
              </w:rPr>
              <w:t>6</w:t>
            </w:r>
            <w:r w:rsidR="00D20647" w:rsidRPr="00514A44">
              <w:rPr>
                <w:rFonts w:eastAsia="Times New Roman" w:cs="Arial"/>
                <w:b/>
                <w:bCs/>
                <w:sz w:val="18"/>
                <w:szCs w:val="18"/>
              </w:rPr>
              <w:t>./</w:t>
            </w:r>
          </w:p>
          <w:p w14:paraId="27A1E13D" w14:textId="6385AEB5" w:rsidR="00D20647" w:rsidRPr="00514A44" w:rsidRDefault="001A48F9" w:rsidP="00CF135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sym w:font="Symbol" w:char="F0C6"/>
            </w:r>
            <w:r w:rsidR="00D20647" w:rsidRPr="00514A44">
              <w:rPr>
                <w:rFonts w:eastAsia="Times New Roman" w:cs="Arial"/>
                <w:b/>
                <w:bCs/>
                <w:sz w:val="18"/>
                <w:szCs w:val="18"/>
              </w:rPr>
              <w:t xml:space="preserve"> </w:t>
            </w: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'</w:t>
            </w:r>
            <w:r w:rsidR="00D07168" w:rsidRPr="00514A44">
              <w:rPr>
                <w:rFonts w:eastAsia="Times New Roman" w:cs="Arial"/>
                <w:b/>
                <w:bCs/>
                <w:sz w:val="18"/>
                <w:szCs w:val="18"/>
              </w:rPr>
              <w:t>2</w:t>
            </w:r>
            <w:r w:rsidR="004B35D0" w:rsidRPr="00514A44">
              <w:rPr>
                <w:rFonts w:eastAsia="Times New Roman" w:cs="Arial"/>
                <w:b/>
                <w:bCs/>
                <w:sz w:val="18"/>
                <w:szCs w:val="18"/>
              </w:rPr>
              <w:t>1</w:t>
            </w:r>
            <w:r w:rsidR="00D20647" w:rsidRPr="00514A44">
              <w:rPr>
                <w:rFonts w:eastAsia="Times New Roman" w:cs="Arial"/>
                <w:b/>
                <w:bCs/>
                <w:sz w:val="18"/>
                <w:szCs w:val="18"/>
              </w:rPr>
              <w:t>.-</w:t>
            </w: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'</w:t>
            </w:r>
            <w:r w:rsidR="00107A5E" w:rsidRPr="00514A44">
              <w:rPr>
                <w:rFonts w:eastAsia="Times New Roman" w:cs="Arial"/>
                <w:b/>
                <w:bCs/>
                <w:sz w:val="18"/>
                <w:szCs w:val="18"/>
              </w:rPr>
              <w:t>2</w:t>
            </w:r>
            <w:r w:rsidR="004B35D0" w:rsidRPr="00514A44">
              <w:rPr>
                <w:rFonts w:eastAsia="Times New Roman" w:cs="Arial"/>
                <w:b/>
                <w:bCs/>
                <w:sz w:val="18"/>
                <w:szCs w:val="18"/>
              </w:rPr>
              <w:t>3</w:t>
            </w:r>
            <w:r w:rsidR="00D20647" w:rsidRPr="00514A44">
              <w:rPr>
                <w:rFonts w:eastAsia="Times New Roman" w:cs="Arial"/>
                <w:b/>
                <w:bCs/>
                <w:sz w:val="18"/>
                <w:szCs w:val="18"/>
              </w:rPr>
              <w:t>.</w:t>
            </w:r>
          </w:p>
        </w:tc>
      </w:tr>
      <w:tr w:rsidR="001B0DA3" w:rsidRPr="00514A44" w14:paraId="1B23C299" w14:textId="77777777" w:rsidTr="000E07B7">
        <w:trPr>
          <w:trHeight w:val="5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3608DFC4" w14:textId="77777777" w:rsidR="00D20647" w:rsidRPr="00514A44" w:rsidRDefault="00D20647" w:rsidP="00CF135F">
            <w:pPr>
              <w:spacing w:after="0" w:line="240" w:lineRule="auto"/>
              <w:rPr>
                <w:rFonts w:eastAsia="Times New Roman" w:cs="Arial"/>
                <w:b/>
                <w:bCs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7D451D" w14:textId="77777777" w:rsidR="00D20647" w:rsidRPr="00514A44" w:rsidRDefault="00D20647" w:rsidP="00CF135F">
            <w:pPr>
              <w:spacing w:after="0" w:line="240" w:lineRule="auto"/>
              <w:rPr>
                <w:rFonts w:eastAsia="Times New Roman" w:cs="Arial"/>
                <w:b/>
                <w:bCs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9D11406" w14:textId="77777777" w:rsidR="00D20647" w:rsidRPr="00514A44" w:rsidRDefault="00D20647" w:rsidP="00CF135F">
            <w:pPr>
              <w:spacing w:after="0" w:line="240" w:lineRule="auto"/>
              <w:rPr>
                <w:rFonts w:eastAsia="Times New Roman" w:cs="Arial"/>
                <w:b/>
                <w:bCs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4F9DD49" w14:textId="77777777" w:rsidR="00D20647" w:rsidRPr="00514A44" w:rsidRDefault="00D20647" w:rsidP="00CF135F">
            <w:pPr>
              <w:spacing w:after="0" w:line="240" w:lineRule="auto"/>
              <w:rPr>
                <w:rFonts w:eastAsia="Times New Roman" w:cs="Arial"/>
                <w:b/>
                <w:bCs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00AAE85B" w14:textId="77777777" w:rsidR="00D20647" w:rsidRPr="00514A44" w:rsidRDefault="00D20647" w:rsidP="00CF135F">
            <w:pPr>
              <w:spacing w:after="0" w:line="240" w:lineRule="auto"/>
              <w:rPr>
                <w:rFonts w:eastAsia="Times New Roman" w:cs="Arial"/>
                <w:b/>
                <w:bCs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A08C54" w14:textId="77777777" w:rsidR="00D20647" w:rsidRPr="00514A44" w:rsidRDefault="00D20647" w:rsidP="00CF135F">
            <w:pPr>
              <w:spacing w:after="0" w:line="240" w:lineRule="auto"/>
              <w:rPr>
                <w:rFonts w:eastAsia="Times New Roman" w:cs="Arial"/>
                <w:b/>
                <w:bCs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343EDF" w14:textId="77777777" w:rsidR="00D20647" w:rsidRPr="00514A44" w:rsidRDefault="00D20647" w:rsidP="00CF135F">
            <w:pPr>
              <w:spacing w:after="0" w:line="240" w:lineRule="auto"/>
              <w:rPr>
                <w:rFonts w:eastAsia="Times New Roman" w:cs="Arial"/>
                <w:b/>
                <w:bCs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05CB379" w14:textId="77777777" w:rsidR="00D20647" w:rsidRPr="00514A44" w:rsidRDefault="00D20647" w:rsidP="00CF135F">
            <w:pPr>
              <w:spacing w:after="0" w:line="240" w:lineRule="auto"/>
              <w:rPr>
                <w:rFonts w:eastAsia="Times New Roman" w:cs="Arial"/>
                <w:b/>
                <w:bCs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5F5E0737" w14:textId="77777777" w:rsidR="00D20647" w:rsidRPr="00514A44" w:rsidRDefault="00D20647" w:rsidP="00CF135F">
            <w:pPr>
              <w:spacing w:after="0" w:line="240" w:lineRule="auto"/>
              <w:rPr>
                <w:rFonts w:eastAsia="Times New Roman" w:cs="Arial"/>
                <w:b/>
                <w:bCs/>
                <w:sz w:val="8"/>
                <w:szCs w:val="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7B627" w14:textId="77777777" w:rsidR="00D20647" w:rsidRPr="00514A44" w:rsidRDefault="00D20647" w:rsidP="00CF135F">
            <w:pPr>
              <w:spacing w:after="0" w:line="240" w:lineRule="auto"/>
              <w:rPr>
                <w:rFonts w:eastAsia="Times New Roman" w:cs="Arial"/>
                <w:b/>
                <w:bCs/>
                <w:sz w:val="8"/>
                <w:szCs w:val="8"/>
              </w:rPr>
            </w:pPr>
          </w:p>
        </w:tc>
      </w:tr>
      <w:tr w:rsidR="000E07B7" w:rsidRPr="00514A44" w14:paraId="558F4DDA" w14:textId="77777777" w:rsidTr="00C316C6">
        <w:trPr>
          <w:trHeight w:hRule="exact" w:val="27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D258C" w14:textId="77777777" w:rsidR="000E07B7" w:rsidRPr="00514A44" w:rsidRDefault="000E07B7" w:rsidP="000E07B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eastAsia="Times New Roman" w:cs="Arial"/>
                <w:sz w:val="16"/>
                <w:szCs w:val="16"/>
              </w:rPr>
              <w:t>Prihodi od kamata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64E04" w14:textId="2F3EAAC2" w:rsidR="000E07B7" w:rsidRPr="00514A44" w:rsidRDefault="000E07B7" w:rsidP="000E07B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89.865.837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ABC759" w14:textId="091FE9D4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83.334.175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0B5748" w14:textId="253B5029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94.883.000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0E20369B" w14:textId="77260252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89.361.004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B9CCC" w14:textId="438608B7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106.996.000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1AF255" w14:textId="76BD9470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117.555.000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CF97DF" w14:textId="394D8976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126.140.000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03021C8F" w14:textId="403DE31D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116.897.000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0E4590" w14:textId="756B1D50" w:rsidR="000E07B7" w:rsidRPr="00514A44" w:rsidRDefault="000E07B7" w:rsidP="00C316C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131</w:t>
            </w:r>
          </w:p>
        </w:tc>
      </w:tr>
      <w:tr w:rsidR="000E07B7" w:rsidRPr="00514A44" w14:paraId="44E7D763" w14:textId="77777777" w:rsidTr="00C316C6">
        <w:trPr>
          <w:trHeight w:hRule="exact" w:val="288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A78EE" w14:textId="77777777" w:rsidR="000E07B7" w:rsidRPr="00514A44" w:rsidRDefault="000E07B7" w:rsidP="000E07B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eastAsia="Times New Roman" w:cs="Arial"/>
                <w:sz w:val="16"/>
                <w:szCs w:val="16"/>
              </w:rPr>
              <w:t>Rashodi od kamata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E4BBB" w14:textId="5F48A230" w:rsidR="000E07B7" w:rsidRPr="00514A44" w:rsidRDefault="000E07B7" w:rsidP="000E07B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(24.535.554)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DC15C7" w14:textId="0CFBFB08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(21.024.166)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3C731F" w14:textId="6F0E29E0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(27.691.000)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3B19419B" w14:textId="4D6252F3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(24.416.907)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6ACE0" w14:textId="565E89EB" w:rsidR="000E07B7" w:rsidRPr="00514A44" w:rsidRDefault="00C316C6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(</w:t>
            </w:r>
            <w:r w:rsidR="000E07B7" w:rsidRPr="00514A44">
              <w:rPr>
                <w:rFonts w:cs="Arial"/>
                <w:color w:val="000000"/>
                <w:sz w:val="16"/>
                <w:szCs w:val="16"/>
              </w:rPr>
              <w:t>45.901.000</w:t>
            </w:r>
            <w:r w:rsidRPr="00514A44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52F7D9" w14:textId="38FCCAE5" w:rsidR="000E07B7" w:rsidRPr="00514A44" w:rsidRDefault="00C316C6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(</w:t>
            </w:r>
            <w:r w:rsidR="000E07B7" w:rsidRPr="00514A44">
              <w:rPr>
                <w:rFonts w:cs="Arial"/>
                <w:color w:val="000000"/>
                <w:sz w:val="16"/>
                <w:szCs w:val="16"/>
              </w:rPr>
              <w:t>57.309.000</w:t>
            </w:r>
            <w:r w:rsidRPr="00514A44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B1DF0" w14:textId="6DF4A928" w:rsidR="000E07B7" w:rsidRPr="00514A44" w:rsidRDefault="00C316C6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(</w:t>
            </w:r>
            <w:r w:rsidR="000E07B7" w:rsidRPr="00514A44">
              <w:rPr>
                <w:rFonts w:cs="Arial"/>
                <w:color w:val="000000"/>
                <w:sz w:val="16"/>
                <w:szCs w:val="16"/>
              </w:rPr>
              <w:t>65.680.000</w:t>
            </w:r>
            <w:r w:rsidRPr="00514A44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3DB885C9" w14:textId="73711F6C" w:rsidR="000E07B7" w:rsidRPr="00514A44" w:rsidRDefault="00C316C6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(</w:t>
            </w:r>
            <w:r w:rsidR="000E07B7" w:rsidRPr="00514A44">
              <w:rPr>
                <w:rFonts w:cs="Arial"/>
                <w:color w:val="000000"/>
                <w:sz w:val="16"/>
                <w:szCs w:val="16"/>
              </w:rPr>
              <w:t>56.296.667</w:t>
            </w:r>
            <w:r w:rsidRPr="00514A44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AF144C3" w14:textId="2136CC4C" w:rsidR="000E07B7" w:rsidRPr="00514A44" w:rsidRDefault="000E07B7" w:rsidP="00C316C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231</w:t>
            </w:r>
          </w:p>
        </w:tc>
      </w:tr>
      <w:tr w:rsidR="000E07B7" w:rsidRPr="00514A44" w14:paraId="21191F2C" w14:textId="77777777" w:rsidTr="00C316C6">
        <w:trPr>
          <w:trHeight w:hRule="exact" w:val="284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0D3ED632" w14:textId="77777777" w:rsidR="000E07B7" w:rsidRPr="00514A44" w:rsidRDefault="000E07B7" w:rsidP="000E07B7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Neto prihod od kamata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3EABFEDA" w14:textId="3CF274CE" w:rsidR="000E07B7" w:rsidRPr="00514A44" w:rsidRDefault="000E07B7" w:rsidP="000E07B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65.330.283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675CBDFF" w14:textId="54D5CAB9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62.310.009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6BF1C071" w14:textId="2A7592AD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67.192.000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3470A2F7" w14:textId="45CCDA62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64.944.097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6028B791" w14:textId="5B9E7421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61.095.000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15172DB7" w14:textId="0098E193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60.246.000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35417882" w14:textId="25D65861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60.460.000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2BB8E174" w14:textId="76679A1E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60.600.333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DCE4"/>
            <w:vAlign w:val="bottom"/>
          </w:tcPr>
          <w:p w14:paraId="6EADEAE4" w14:textId="383DEF24" w:rsidR="000E07B7" w:rsidRPr="00514A44" w:rsidRDefault="000E07B7" w:rsidP="00C316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</w:tr>
      <w:tr w:rsidR="000E07B7" w:rsidRPr="00514A44" w14:paraId="108DC8C0" w14:textId="77777777" w:rsidTr="00C316C6">
        <w:trPr>
          <w:trHeight w:hRule="exact" w:val="127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CD95A7" w14:textId="77777777" w:rsidR="000E07B7" w:rsidRPr="00514A44" w:rsidRDefault="000E07B7" w:rsidP="000E07B7">
            <w:pPr>
              <w:spacing w:after="0" w:line="240" w:lineRule="auto"/>
              <w:rPr>
                <w:rFonts w:eastAsia="Times New Roman" w:cs="Arial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30A1F" w14:textId="77777777" w:rsidR="000E07B7" w:rsidRPr="00514A44" w:rsidRDefault="000E07B7" w:rsidP="000E07B7">
            <w:pPr>
              <w:spacing w:after="0" w:line="240" w:lineRule="auto"/>
              <w:jc w:val="right"/>
              <w:rPr>
                <w:rFonts w:eastAsia="Times New Roman" w:cs="Arial"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D83B07" w14:textId="77777777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D4771" w14:textId="77777777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5D8ABA54" w14:textId="2B094ECA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B0128" w14:textId="77777777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0830CC" w14:textId="77777777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4F713" w14:textId="77777777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56C75C22" w14:textId="7F9070B9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266216" w14:textId="634164E9" w:rsidR="000E07B7" w:rsidRPr="00514A44" w:rsidRDefault="000E07B7" w:rsidP="00C316C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0E07B7" w:rsidRPr="00514A44" w14:paraId="784F98E3" w14:textId="77777777" w:rsidTr="00C316C6">
        <w:trPr>
          <w:trHeight w:hRule="exact" w:val="284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B30AA" w14:textId="77777777" w:rsidR="000E07B7" w:rsidRPr="00514A44" w:rsidRDefault="000E07B7" w:rsidP="000E07B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eastAsia="Times New Roman" w:cs="Arial"/>
                <w:sz w:val="16"/>
                <w:szCs w:val="16"/>
              </w:rPr>
              <w:t>Prihodi od naknada i provizija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6A51B" w14:textId="5BD88750" w:rsidR="000E07B7" w:rsidRPr="00514A44" w:rsidRDefault="000E07B7" w:rsidP="000E07B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3.788.318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D8AAE5" w14:textId="0572954A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3.092.704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0BB81" w14:textId="0739BD00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5.240.000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68C6130F" w14:textId="20213206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4.040.341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D6266E" w14:textId="10238B41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4.794.000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8D06BA" w14:textId="4373DDBA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4.974.000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47F353" w14:textId="0EC7AE68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5.366.000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234E8441" w14:textId="71280BA4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5.044.667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3487EF" w14:textId="6A5A7B83" w:rsidR="000E07B7" w:rsidRPr="00514A44" w:rsidRDefault="000E07B7" w:rsidP="00C316C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125</w:t>
            </w:r>
          </w:p>
        </w:tc>
      </w:tr>
      <w:tr w:rsidR="000E07B7" w:rsidRPr="00514A44" w14:paraId="604B6973" w14:textId="77777777" w:rsidTr="00C316C6">
        <w:trPr>
          <w:trHeight w:hRule="exact" w:val="284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93E18" w14:textId="77777777" w:rsidR="000E07B7" w:rsidRPr="00514A44" w:rsidRDefault="000E07B7" w:rsidP="000E07B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eastAsia="Times New Roman" w:cs="Arial"/>
                <w:sz w:val="16"/>
                <w:szCs w:val="16"/>
              </w:rPr>
              <w:t>Rashodi od naknada i provizija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FDB7D" w14:textId="55A60114" w:rsidR="000E07B7" w:rsidRPr="00514A44" w:rsidRDefault="000E07B7" w:rsidP="000E07B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(671.967)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409CD" w14:textId="4E8A3D16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(518.904)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8CA93" w14:textId="15B9F8E0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(888.000)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59503FB8" w14:textId="4F99DE89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(692.957)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95945" w14:textId="5EC737D5" w:rsidR="000E07B7" w:rsidRPr="00514A44" w:rsidRDefault="00C316C6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(</w:t>
            </w:r>
            <w:r w:rsidR="000E07B7" w:rsidRPr="00514A44">
              <w:rPr>
                <w:rFonts w:cs="Arial"/>
                <w:color w:val="000000"/>
                <w:sz w:val="16"/>
                <w:szCs w:val="16"/>
              </w:rPr>
              <w:t>1.020.000</w:t>
            </w:r>
            <w:r w:rsidRPr="00514A44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D2ADB1" w14:textId="0A61F78C" w:rsidR="000E07B7" w:rsidRPr="00514A44" w:rsidRDefault="00C316C6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(</w:t>
            </w:r>
            <w:r w:rsidR="000E07B7" w:rsidRPr="00514A44">
              <w:rPr>
                <w:rFonts w:cs="Arial"/>
                <w:color w:val="000000"/>
                <w:sz w:val="16"/>
                <w:szCs w:val="16"/>
              </w:rPr>
              <w:t>1.020.000</w:t>
            </w:r>
            <w:r w:rsidRPr="00514A44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5E426F" w14:textId="4F5C0627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75275BB6" w14:textId="71668962" w:rsidR="000E07B7" w:rsidRPr="00514A44" w:rsidRDefault="00C316C6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(</w:t>
            </w:r>
            <w:r w:rsidR="000E07B7" w:rsidRPr="00514A44">
              <w:rPr>
                <w:rFonts w:cs="Arial"/>
                <w:color w:val="000000"/>
                <w:sz w:val="16"/>
                <w:szCs w:val="16"/>
              </w:rPr>
              <w:t>680.000</w:t>
            </w:r>
            <w:r w:rsidRPr="00514A44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F64897" w14:textId="67F7D9B8" w:rsidR="000E07B7" w:rsidRPr="00514A44" w:rsidRDefault="000E07B7" w:rsidP="00C316C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98</w:t>
            </w:r>
          </w:p>
        </w:tc>
      </w:tr>
      <w:tr w:rsidR="000E07B7" w:rsidRPr="00514A44" w14:paraId="1D79BB3A" w14:textId="77777777" w:rsidTr="00C316C6">
        <w:trPr>
          <w:trHeight w:hRule="exact" w:val="284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48193B25" w14:textId="77777777" w:rsidR="000E07B7" w:rsidRPr="00514A44" w:rsidRDefault="000E07B7" w:rsidP="000E07B7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Neto prihod od naknada i provizija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0AFEC72C" w14:textId="5991FF28" w:rsidR="000E07B7" w:rsidRPr="00514A44" w:rsidRDefault="000E07B7" w:rsidP="000E07B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3.116.351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6B2B9675" w14:textId="6D1E52C5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2.573.800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0237FE8B" w14:textId="030154F1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4.352.000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392CCDAC" w14:textId="3C1B7386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3.347.384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06DB1BA7" w14:textId="5CD7E4B1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3.774.000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1EC089D2" w14:textId="094DA15C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3.954.000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5B7400F3" w14:textId="33BE4476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5.366.000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0C5544F2" w14:textId="261A99EF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4.364.667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DCE4"/>
            <w:vAlign w:val="bottom"/>
          </w:tcPr>
          <w:p w14:paraId="3E42A326" w14:textId="1E0D6D84" w:rsidR="000E07B7" w:rsidRPr="00514A44" w:rsidRDefault="000E07B7" w:rsidP="00C316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130</w:t>
            </w:r>
          </w:p>
        </w:tc>
      </w:tr>
      <w:tr w:rsidR="000E07B7" w:rsidRPr="00514A44" w14:paraId="5DB301FD" w14:textId="77777777" w:rsidTr="00C316C6">
        <w:trPr>
          <w:trHeight w:hRule="exact" w:val="7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210726A" w14:textId="77777777" w:rsidR="000E07B7" w:rsidRPr="00514A44" w:rsidRDefault="000E07B7" w:rsidP="000E07B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023E40" w14:textId="77777777" w:rsidR="000E07B7" w:rsidRPr="00514A44" w:rsidRDefault="000E07B7" w:rsidP="000E07B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AECBF" w14:textId="77777777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950E0" w14:textId="77777777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43A07405" w14:textId="25553BBC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8FCB10" w14:textId="77777777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6E308F" w14:textId="77777777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98848" w14:textId="77777777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15FE240D" w14:textId="659020F1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B9BDCB" w14:textId="654CA374" w:rsidR="000E07B7" w:rsidRPr="00514A44" w:rsidRDefault="000E07B7" w:rsidP="00C316C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0E07B7" w:rsidRPr="00514A44" w14:paraId="117D96CE" w14:textId="77777777" w:rsidTr="00C316C6">
        <w:trPr>
          <w:trHeight w:hRule="exact" w:val="458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040AB" w14:textId="77777777" w:rsidR="000E07B7" w:rsidRPr="00514A44" w:rsidRDefault="000E07B7" w:rsidP="000E07B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eastAsia="Times New Roman" w:cs="Arial"/>
                <w:sz w:val="16"/>
                <w:szCs w:val="16"/>
              </w:rPr>
              <w:t>Neto prihodi/(rashodi) od financijskih aktivnosti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DC055" w14:textId="1D90FE89" w:rsidR="000E07B7" w:rsidRPr="00514A44" w:rsidRDefault="000E07B7" w:rsidP="000E07B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(1.573.194)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8390B" w14:textId="4DFEF66C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2.219.831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155BA" w14:textId="2E86EAA3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02A2C5B9" w14:textId="24E4F9D9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215.546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7F524" w14:textId="4B52EFF7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D442FE" w14:textId="0D0E5F1F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1ADDBD" w14:textId="01441E8A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0AB9A934" w14:textId="604A8A68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9CE804" w14:textId="40CED5FF" w:rsidR="000E07B7" w:rsidRPr="00514A44" w:rsidRDefault="00C316C6" w:rsidP="00C316C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</w:tr>
      <w:tr w:rsidR="000E07B7" w:rsidRPr="00514A44" w14:paraId="20FC7FEF" w14:textId="77777777" w:rsidTr="00C316C6">
        <w:trPr>
          <w:trHeight w:hRule="exact" w:val="284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F1CE7" w14:textId="77777777" w:rsidR="000E07B7" w:rsidRPr="00514A44" w:rsidRDefault="000E07B7" w:rsidP="000E07B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eastAsia="Times New Roman" w:cs="Arial"/>
                <w:sz w:val="16"/>
                <w:szCs w:val="16"/>
              </w:rPr>
              <w:t>Ostali prihodi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48902" w14:textId="2C531C83" w:rsidR="000E07B7" w:rsidRPr="00514A44" w:rsidRDefault="000E07B7" w:rsidP="000E07B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3.185.994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8E952" w14:textId="004C4982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1.879.769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BAF39" w14:textId="3F156D7B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2.185.000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01BE2601" w14:textId="47427E49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2.416.921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C4B76C" w14:textId="316E6238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2.422.000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D99E1" w14:textId="477606B8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1.374.000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C53005" w14:textId="793FD2BF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1.257.000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66CFFD37" w14:textId="3C11D66D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1.684.333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32192C" w14:textId="0D5BB615" w:rsidR="000E07B7" w:rsidRPr="00514A44" w:rsidRDefault="000E07B7" w:rsidP="00C316C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70</w:t>
            </w:r>
          </w:p>
        </w:tc>
      </w:tr>
      <w:tr w:rsidR="000E07B7" w:rsidRPr="00514A44" w14:paraId="2AA48FA9" w14:textId="77777777" w:rsidTr="00C316C6">
        <w:trPr>
          <w:trHeight w:hRule="exact" w:val="284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4AA3A" w14:textId="77777777" w:rsidR="000E07B7" w:rsidRPr="00514A44" w:rsidRDefault="000E07B7" w:rsidP="000E07B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3219A" w14:textId="5463E0C8" w:rsidR="000E07B7" w:rsidRPr="00514A44" w:rsidRDefault="000E07B7" w:rsidP="000E07B7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70.059.434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CE312" w14:textId="09574FAE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68.983.409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FE003" w14:textId="76BD5861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73.729.000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0BD1AEF5" w14:textId="3813926B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70.923.948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3194A5" w14:textId="1A780E2B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67.291.000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034CA" w14:textId="47E5FC86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65.574.000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9601B9" w14:textId="51E0CDFF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67.083.000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3ACCF5F7" w14:textId="0AA8D8EB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66.649.333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404E3D0" w14:textId="4E989867" w:rsidR="000E07B7" w:rsidRPr="00514A44" w:rsidRDefault="000E07B7" w:rsidP="00C316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</w:tr>
      <w:tr w:rsidR="000E07B7" w:rsidRPr="00514A44" w14:paraId="5AC2E5C6" w14:textId="77777777" w:rsidTr="00C316C6">
        <w:trPr>
          <w:trHeight w:hRule="exact" w:val="6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6280BDB" w14:textId="77777777" w:rsidR="000E07B7" w:rsidRPr="00514A44" w:rsidRDefault="000E07B7" w:rsidP="000E07B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B92A5" w14:textId="77777777" w:rsidR="000E07B7" w:rsidRPr="00514A44" w:rsidRDefault="000E07B7" w:rsidP="000E07B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15A5B9" w14:textId="77777777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83859F" w14:textId="77777777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06A9EF52" w14:textId="384B8847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4EC600" w14:textId="77777777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0EC418" w14:textId="77777777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59B3F" w14:textId="77777777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3EA18126" w14:textId="0A965B22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E470A9" w14:textId="4532DDD3" w:rsidR="000E07B7" w:rsidRPr="00514A44" w:rsidRDefault="000E07B7" w:rsidP="00C316C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0E07B7" w:rsidRPr="00514A44" w14:paraId="48D1D97D" w14:textId="77777777" w:rsidTr="00C316C6">
        <w:trPr>
          <w:trHeight w:hRule="exact" w:val="271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5C9BB" w14:textId="77777777" w:rsidR="000E07B7" w:rsidRPr="00514A44" w:rsidRDefault="000E07B7" w:rsidP="000E07B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eastAsia="Times New Roman" w:cs="Arial"/>
                <w:sz w:val="16"/>
                <w:szCs w:val="16"/>
              </w:rPr>
              <w:t>Operativni troškovi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8B485" w14:textId="723DB3F9" w:rsidR="000E07B7" w:rsidRPr="00514A44" w:rsidRDefault="000E07B7" w:rsidP="000E07B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(23.531.326)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4224E3" w14:textId="20CC15BE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(25.104.291)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8E0FBF" w14:textId="28FA7FDD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(25.700.000)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59FF192E" w14:textId="7D3B3680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(24.778.539)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75F139" w14:textId="7312A48F" w:rsidR="000E07B7" w:rsidRPr="00514A44" w:rsidRDefault="00C316C6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(</w:t>
            </w:r>
            <w:r w:rsidR="000E07B7" w:rsidRPr="00514A44">
              <w:rPr>
                <w:rFonts w:cs="Arial"/>
                <w:color w:val="000000"/>
                <w:sz w:val="16"/>
                <w:szCs w:val="16"/>
              </w:rPr>
              <w:t>31.335.000</w:t>
            </w:r>
            <w:r w:rsidRPr="00514A44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B3E6AF" w14:textId="37CF5B6D" w:rsidR="000E07B7" w:rsidRPr="00514A44" w:rsidRDefault="00C316C6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(</w:t>
            </w:r>
            <w:r w:rsidR="000E07B7" w:rsidRPr="00514A44">
              <w:rPr>
                <w:rFonts w:cs="Arial"/>
                <w:color w:val="000000"/>
                <w:sz w:val="16"/>
                <w:szCs w:val="16"/>
              </w:rPr>
              <w:t>31.604.000</w:t>
            </w:r>
            <w:r w:rsidRPr="00514A44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58C48" w14:textId="57E5DE4F" w:rsidR="000E07B7" w:rsidRPr="00514A44" w:rsidRDefault="00C316C6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(</w:t>
            </w:r>
            <w:r w:rsidR="000E07B7" w:rsidRPr="00514A44">
              <w:rPr>
                <w:rFonts w:cs="Arial"/>
                <w:color w:val="000000"/>
                <w:sz w:val="16"/>
                <w:szCs w:val="16"/>
              </w:rPr>
              <w:t>31.465.000</w:t>
            </w:r>
            <w:r w:rsidRPr="00514A44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4B0395A6" w14:textId="4222D430" w:rsidR="000E07B7" w:rsidRPr="00514A44" w:rsidRDefault="00C316C6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(</w:t>
            </w:r>
            <w:r w:rsidR="000E07B7" w:rsidRPr="00514A44">
              <w:rPr>
                <w:rFonts w:cs="Arial"/>
                <w:color w:val="000000"/>
                <w:sz w:val="16"/>
                <w:szCs w:val="16"/>
              </w:rPr>
              <w:t>31.468.000</w:t>
            </w:r>
            <w:r w:rsidRPr="00514A44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90E5EE" w14:textId="1FF206E7" w:rsidR="000E07B7" w:rsidRPr="00514A44" w:rsidRDefault="000E07B7" w:rsidP="00C316C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127</w:t>
            </w:r>
          </w:p>
        </w:tc>
      </w:tr>
      <w:tr w:rsidR="000E07B7" w:rsidRPr="00514A44" w14:paraId="36E91D5E" w14:textId="77777777" w:rsidTr="00C316C6">
        <w:trPr>
          <w:trHeight w:hRule="exact" w:val="36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17E2E" w14:textId="77777777" w:rsidR="000E07B7" w:rsidRPr="00514A44" w:rsidRDefault="000E07B7" w:rsidP="000E07B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eastAsia="Times New Roman" w:cs="Arial"/>
                <w:sz w:val="16"/>
                <w:szCs w:val="16"/>
              </w:rPr>
              <w:t>Gubitak od umanjenja vrijednosti i rezerviranja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28886" w14:textId="3D8A46BC" w:rsidR="000E07B7" w:rsidRPr="00514A44" w:rsidRDefault="000E07B7" w:rsidP="000E07B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(21.664.013)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C400A" w14:textId="14B2F349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(19.169.681)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11A4C8" w14:textId="4E47FE39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(19.023.000)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28EB951A" w14:textId="2B17FBCB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(19.952.231)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3D771" w14:textId="40E4A4E8" w:rsidR="000E07B7" w:rsidRPr="00514A44" w:rsidRDefault="00C316C6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(</w:t>
            </w:r>
            <w:r w:rsidR="000E07B7" w:rsidRPr="00514A44">
              <w:rPr>
                <w:rFonts w:cs="Arial"/>
                <w:color w:val="000000"/>
                <w:sz w:val="16"/>
                <w:szCs w:val="16"/>
              </w:rPr>
              <w:t>5.091.000</w:t>
            </w:r>
            <w:r w:rsidRPr="00514A44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CF174" w14:textId="4B34B414" w:rsidR="000E07B7" w:rsidRPr="00514A44" w:rsidRDefault="00C316C6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(</w:t>
            </w:r>
            <w:r w:rsidR="000E07B7" w:rsidRPr="00514A44">
              <w:rPr>
                <w:rFonts w:cs="Arial"/>
                <w:color w:val="000000"/>
                <w:sz w:val="16"/>
                <w:szCs w:val="16"/>
              </w:rPr>
              <w:t>2.475.000</w:t>
            </w:r>
            <w:r w:rsidRPr="00514A44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7BC17" w14:textId="0C8D2252" w:rsidR="000E07B7" w:rsidRPr="00514A44" w:rsidRDefault="00C316C6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(</w:t>
            </w:r>
            <w:r w:rsidR="000E07B7" w:rsidRPr="00514A44">
              <w:rPr>
                <w:rFonts w:cs="Arial"/>
                <w:color w:val="000000"/>
                <w:sz w:val="16"/>
                <w:szCs w:val="16"/>
              </w:rPr>
              <w:t>4.941.000</w:t>
            </w:r>
            <w:r w:rsidRPr="00514A44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5437AD19" w14:textId="2AD52C19" w:rsidR="000E07B7" w:rsidRPr="00514A44" w:rsidRDefault="00C316C6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(</w:t>
            </w:r>
            <w:r w:rsidR="000E07B7" w:rsidRPr="00514A44">
              <w:rPr>
                <w:rFonts w:cs="Arial"/>
                <w:color w:val="000000"/>
                <w:sz w:val="16"/>
                <w:szCs w:val="16"/>
              </w:rPr>
              <w:t>4.169.000</w:t>
            </w:r>
            <w:r w:rsidRPr="00514A44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F883E7" w14:textId="0F098B87" w:rsidR="000E07B7" w:rsidRPr="00514A44" w:rsidRDefault="000E07B7" w:rsidP="00C316C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</w:tr>
      <w:tr w:rsidR="000E07B7" w:rsidRPr="00514A44" w14:paraId="47B2EE79" w14:textId="77777777" w:rsidTr="00C316C6">
        <w:trPr>
          <w:trHeight w:hRule="exact" w:val="6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88115" w14:textId="77777777" w:rsidR="000E07B7" w:rsidRPr="00514A44" w:rsidRDefault="000E07B7" w:rsidP="000E07B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CC59D" w14:textId="77777777" w:rsidR="000E07B7" w:rsidRPr="00514A44" w:rsidRDefault="000E07B7" w:rsidP="000E07B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D600B6" w14:textId="77777777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61671" w14:textId="77777777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56F7BC19" w14:textId="2ADD7CDB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7FD1F" w14:textId="77777777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B679A2" w14:textId="77777777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520EE" w14:textId="77777777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45AD2593" w14:textId="6890B21A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E874D73" w14:textId="120D6CBC" w:rsidR="000E07B7" w:rsidRPr="00514A44" w:rsidRDefault="000E07B7" w:rsidP="00C316C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0E07B7" w:rsidRPr="00514A44" w14:paraId="741A24F2" w14:textId="77777777" w:rsidTr="00C316C6">
        <w:trPr>
          <w:trHeight w:hRule="exact" w:val="284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36736C8D" w14:textId="77777777" w:rsidR="000E07B7" w:rsidRPr="00514A44" w:rsidRDefault="000E07B7" w:rsidP="000E07B7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Dobit prije oporezivanja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051839D7" w14:textId="31BA4D46" w:rsidR="000E07B7" w:rsidRPr="00514A44" w:rsidRDefault="000E07B7" w:rsidP="000E07B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24.864.095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0D6F8DB4" w14:textId="7AA3025C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24.709.437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0B9BE665" w14:textId="0AFEE766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29.006.000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76E26669" w14:textId="499E2458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26.193.177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667FD369" w14:textId="2E344CC7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30.865.000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50DE5A5B" w14:textId="503735EB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31.495.000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7D3D2E85" w14:textId="56C8AF03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30.677.000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2F2E9FE0" w14:textId="75D8953F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31.012.333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DCE4"/>
            <w:vAlign w:val="bottom"/>
          </w:tcPr>
          <w:p w14:paraId="2AB81C15" w14:textId="59283098" w:rsidR="000E07B7" w:rsidRPr="00514A44" w:rsidRDefault="000E07B7" w:rsidP="00C316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118</w:t>
            </w:r>
          </w:p>
        </w:tc>
      </w:tr>
      <w:tr w:rsidR="000E07B7" w:rsidRPr="00514A44" w14:paraId="3A65C4F0" w14:textId="77777777" w:rsidTr="00C316C6">
        <w:trPr>
          <w:trHeight w:hRule="exact" w:val="284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85785" w14:textId="77777777" w:rsidR="000E07B7" w:rsidRPr="00514A44" w:rsidRDefault="000E07B7" w:rsidP="000E07B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eastAsia="Times New Roman" w:cs="Arial"/>
                <w:sz w:val="16"/>
                <w:szCs w:val="16"/>
              </w:rPr>
              <w:t>Porez na dobit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249AF" w14:textId="302BE11B" w:rsidR="000E07B7" w:rsidRPr="00514A44" w:rsidRDefault="000E07B7" w:rsidP="000E07B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A1732C" w14:textId="52E50EF9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C4C75" w14:textId="387C397A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7D9DE670" w14:textId="6BEEDA3B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9E50E6" w14:textId="6B5FA533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9244EC" w14:textId="03FEC5E5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AE281" w14:textId="2A63BD45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228067BA" w14:textId="0714DC49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17FD86" w14:textId="117CD2AA" w:rsidR="000E07B7" w:rsidRPr="00514A44" w:rsidRDefault="00F50368" w:rsidP="00C316C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eastAsia="Times New Roman" w:cs="Arial"/>
                <w:sz w:val="16"/>
                <w:szCs w:val="16"/>
              </w:rPr>
              <w:t>-</w:t>
            </w:r>
          </w:p>
        </w:tc>
      </w:tr>
      <w:tr w:rsidR="000E07B7" w:rsidRPr="00514A44" w14:paraId="5541BE80" w14:textId="77777777" w:rsidTr="00C316C6">
        <w:trPr>
          <w:trHeight w:hRule="exact" w:val="6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40FB0F" w14:textId="77777777" w:rsidR="000E07B7" w:rsidRPr="00514A44" w:rsidRDefault="000E07B7" w:rsidP="000E07B7">
            <w:pPr>
              <w:spacing w:after="0" w:line="240" w:lineRule="auto"/>
              <w:rPr>
                <w:rFonts w:eastAsia="Times New Roman" w:cs="Arial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EC606A" w14:textId="77777777" w:rsidR="000E07B7" w:rsidRPr="00514A44" w:rsidRDefault="000E07B7" w:rsidP="000E07B7">
            <w:pPr>
              <w:spacing w:after="0" w:line="240" w:lineRule="auto"/>
              <w:rPr>
                <w:rFonts w:eastAsia="Times New Roman" w:cs="Arial"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BA6FD" w14:textId="77777777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201B8" w14:textId="77777777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4488A019" w14:textId="4F60CDFE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72B806" w14:textId="77777777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0A88F5" w14:textId="77777777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5037B" w14:textId="77777777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33D375DA" w14:textId="0C1BDA17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5D02D0" w14:textId="238A6D1D" w:rsidR="000E07B7" w:rsidRPr="00514A44" w:rsidRDefault="000E07B7" w:rsidP="00C316C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0E07B7" w:rsidRPr="00514A44" w14:paraId="6315B9CC" w14:textId="77777777" w:rsidTr="00C316C6">
        <w:trPr>
          <w:trHeight w:hRule="exact" w:val="284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563625A4" w14:textId="77777777" w:rsidR="000E07B7" w:rsidRPr="00514A44" w:rsidRDefault="000E07B7" w:rsidP="000E07B7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Ukupan prihod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764EE90E" w14:textId="7313F34E" w:rsidR="000E07B7" w:rsidRPr="00514A44" w:rsidRDefault="000E07B7" w:rsidP="000E07B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96.840.149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4C4FAE2E" w14:textId="5B4EC19C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90.526.479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27D9EA5D" w14:textId="2FD5A49F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102.308.000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6E00A87B" w14:textId="0A812A74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96.558.209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2A4C6774" w14:textId="3D643EAA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114.212.000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50298EDA" w14:textId="5360F70E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123.903.000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655A267F" w14:textId="41958ABF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132.763.000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4E83C627" w14:textId="6238D0C9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123.626.000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DCE4"/>
            <w:vAlign w:val="bottom"/>
          </w:tcPr>
          <w:p w14:paraId="3055B537" w14:textId="7840F654" w:rsidR="000E07B7" w:rsidRPr="00514A44" w:rsidRDefault="000E07B7" w:rsidP="00C316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128</w:t>
            </w:r>
          </w:p>
        </w:tc>
      </w:tr>
      <w:tr w:rsidR="000E07B7" w:rsidRPr="00514A44" w14:paraId="52E09E5A" w14:textId="77777777" w:rsidTr="00C316C6">
        <w:trPr>
          <w:trHeight w:hRule="exact" w:val="284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5385B780" w14:textId="77777777" w:rsidR="000E07B7" w:rsidRPr="00514A44" w:rsidRDefault="000E07B7" w:rsidP="000E07B7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Ukupan rashod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4BDD9506" w14:textId="7C47DD89" w:rsidR="000E07B7" w:rsidRPr="00514A44" w:rsidRDefault="000E07B7" w:rsidP="000E07B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(71.976.054)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0EAAD3C2" w14:textId="1EA79018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(65.817.042)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4A8A8561" w14:textId="34707607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(73.302.000)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3F2BB427" w14:textId="0D446A09" w:rsidR="000E07B7" w:rsidRPr="00514A44" w:rsidRDefault="00C316C6" w:rsidP="00C316C6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(</w:t>
            </w:r>
            <w:r w:rsidR="000E07B7"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70.365.032</w:t>
            </w: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0AAB14D0" w14:textId="55C5570E" w:rsidR="000E07B7" w:rsidRPr="00514A44" w:rsidRDefault="00C316C6" w:rsidP="00C316C6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(</w:t>
            </w:r>
            <w:r w:rsidR="000E07B7"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83.347.000</w:t>
            </w: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604A1E77" w14:textId="2CFD2001" w:rsidR="000E07B7" w:rsidRPr="00514A44" w:rsidRDefault="00C316C6" w:rsidP="00C316C6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(</w:t>
            </w:r>
            <w:r w:rsidR="000E07B7"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92.408.000</w:t>
            </w: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167FB032" w14:textId="17A5769D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(102.086.000)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3B973665" w14:textId="3B6D73E4" w:rsidR="000E07B7" w:rsidRPr="00514A44" w:rsidRDefault="00C316C6" w:rsidP="00C316C6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(</w:t>
            </w:r>
            <w:r w:rsidR="000E07B7"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92.613.667</w:t>
            </w: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DCE4"/>
            <w:vAlign w:val="bottom"/>
          </w:tcPr>
          <w:p w14:paraId="330E9E6E" w14:textId="65A53091" w:rsidR="000E07B7" w:rsidRPr="00514A44" w:rsidRDefault="000E07B7" w:rsidP="00C316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132</w:t>
            </w:r>
          </w:p>
        </w:tc>
      </w:tr>
      <w:tr w:rsidR="000E07B7" w:rsidRPr="00514A44" w14:paraId="50471581" w14:textId="77777777" w:rsidTr="00C316C6">
        <w:trPr>
          <w:trHeight w:hRule="exact" w:val="7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27CBF9" w14:textId="77777777" w:rsidR="000E07B7" w:rsidRPr="00514A44" w:rsidRDefault="000E07B7" w:rsidP="000E07B7">
            <w:pPr>
              <w:spacing w:after="0" w:line="240" w:lineRule="auto"/>
              <w:rPr>
                <w:rFonts w:eastAsia="Times New Roman" w:cs="Arial"/>
                <w:b/>
                <w:bCs/>
                <w:sz w:val="8"/>
                <w:szCs w:val="8"/>
              </w:rPr>
            </w:pPr>
            <w:r w:rsidRPr="00514A44">
              <w:rPr>
                <w:rFonts w:eastAsia="Times New Roman" w:cs="Arial"/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7C8CACD" w14:textId="77777777" w:rsidR="000E07B7" w:rsidRPr="00514A44" w:rsidRDefault="000E07B7" w:rsidP="000E07B7">
            <w:pPr>
              <w:spacing w:after="0" w:line="240" w:lineRule="auto"/>
              <w:jc w:val="right"/>
              <w:rPr>
                <w:rFonts w:eastAsia="Times New Roman" w:cs="Arial"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D18EEEA" w14:textId="77777777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14:paraId="20927C0C" w14:textId="77777777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DBE5F1"/>
            <w:vAlign w:val="bottom"/>
          </w:tcPr>
          <w:p w14:paraId="2EADA78F" w14:textId="7280105B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701F290" w14:textId="77777777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0C36172" w14:textId="77777777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27E11CD" w14:textId="77777777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000000" w:fill="DBE5F1"/>
            <w:vAlign w:val="bottom"/>
          </w:tcPr>
          <w:p w14:paraId="197DD8F1" w14:textId="4FBD81B2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BF850F9" w14:textId="3425605B" w:rsidR="000E07B7" w:rsidRPr="00514A44" w:rsidRDefault="000E07B7" w:rsidP="00C316C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0E07B7" w:rsidRPr="007B4845" w14:paraId="6E671A7A" w14:textId="77777777" w:rsidTr="00C316C6">
        <w:trPr>
          <w:trHeight w:hRule="exact" w:val="284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bottom"/>
            <w:hideMark/>
          </w:tcPr>
          <w:p w14:paraId="5210E6C8" w14:textId="77777777" w:rsidR="000E07B7" w:rsidRPr="00514A44" w:rsidRDefault="000E07B7" w:rsidP="000E07B7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Dobit tekućeg razdoblja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vAlign w:val="bottom"/>
            <w:hideMark/>
          </w:tcPr>
          <w:p w14:paraId="6D72563A" w14:textId="75C354FE" w:rsidR="000E07B7" w:rsidRPr="00514A44" w:rsidRDefault="000E07B7" w:rsidP="000E07B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24.864.095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vAlign w:val="bottom"/>
          </w:tcPr>
          <w:p w14:paraId="5662EB86" w14:textId="476746E4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24.709.437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vAlign w:val="bottom"/>
          </w:tcPr>
          <w:p w14:paraId="2BF268A5" w14:textId="7D6BE93D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29.006.000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vAlign w:val="bottom"/>
          </w:tcPr>
          <w:p w14:paraId="0DA54A2D" w14:textId="38287BEE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26.193.177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vAlign w:val="bottom"/>
          </w:tcPr>
          <w:p w14:paraId="191B57B9" w14:textId="2ECD2718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30.865.000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vAlign w:val="bottom"/>
          </w:tcPr>
          <w:p w14:paraId="49011099" w14:textId="6933BAB6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31.495.000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vAlign w:val="bottom"/>
          </w:tcPr>
          <w:p w14:paraId="48E6A6DB" w14:textId="5BFE4CCF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30.677.000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vAlign w:val="bottom"/>
          </w:tcPr>
          <w:p w14:paraId="539C0144" w14:textId="6A3E1628" w:rsidR="000E07B7" w:rsidRPr="00514A44" w:rsidRDefault="000E07B7" w:rsidP="00C316C6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31.012.333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bottom"/>
          </w:tcPr>
          <w:p w14:paraId="22E96226" w14:textId="226C0B5F" w:rsidR="000E07B7" w:rsidRPr="00514A44" w:rsidRDefault="000E07B7" w:rsidP="00C316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cs="Arial"/>
                <w:b/>
                <w:bCs/>
                <w:color w:val="000000"/>
                <w:sz w:val="16"/>
                <w:szCs w:val="16"/>
              </w:rPr>
              <w:t>118</w:t>
            </w:r>
          </w:p>
        </w:tc>
      </w:tr>
    </w:tbl>
    <w:p w14:paraId="374C675C" w14:textId="77777777" w:rsidR="001B0DA3" w:rsidRDefault="001B0DA3" w:rsidP="009452E1">
      <w:pPr>
        <w:pStyle w:val="ListParagraph"/>
        <w:tabs>
          <w:tab w:val="left" w:pos="-720"/>
          <w:tab w:val="left" w:pos="426"/>
        </w:tabs>
        <w:suppressAutoHyphens/>
        <w:spacing w:after="0" w:line="240" w:lineRule="auto"/>
        <w:ind w:left="284" w:hanging="284"/>
        <w:jc w:val="both"/>
        <w:rPr>
          <w:rFonts w:eastAsia="Times New Roman" w:cs="Arial"/>
          <w:sz w:val="16"/>
          <w:szCs w:val="16"/>
        </w:rPr>
      </w:pPr>
    </w:p>
    <w:p w14:paraId="34D0D4C2" w14:textId="35E7BCA2" w:rsidR="00CD1A16" w:rsidRDefault="009E26B3" w:rsidP="009452E1">
      <w:pPr>
        <w:pStyle w:val="ListParagraph"/>
        <w:tabs>
          <w:tab w:val="left" w:pos="-720"/>
          <w:tab w:val="left" w:pos="426"/>
        </w:tabs>
        <w:suppressAutoHyphens/>
        <w:spacing w:after="0" w:line="240" w:lineRule="auto"/>
        <w:ind w:left="284" w:hanging="284"/>
        <w:jc w:val="both"/>
        <w:rPr>
          <w:rFonts w:eastAsia="Times New Roman" w:cs="Arial"/>
          <w:sz w:val="16"/>
          <w:szCs w:val="16"/>
        </w:rPr>
      </w:pPr>
      <w:r w:rsidRPr="009B45AB">
        <w:rPr>
          <w:rFonts w:eastAsia="Times New Roman" w:cs="Arial"/>
          <w:sz w:val="16"/>
          <w:szCs w:val="16"/>
        </w:rPr>
        <w:t xml:space="preserve">*Iznosi u računu dobiti i gubitka </w:t>
      </w:r>
      <w:r w:rsidR="001B0DA3">
        <w:rPr>
          <w:rFonts w:eastAsia="Times New Roman" w:cs="Arial"/>
          <w:sz w:val="16"/>
          <w:szCs w:val="16"/>
        </w:rPr>
        <w:t>preračunati</w:t>
      </w:r>
      <w:r w:rsidRPr="009B45AB">
        <w:rPr>
          <w:rFonts w:eastAsia="Times New Roman" w:cs="Arial"/>
          <w:sz w:val="16"/>
          <w:szCs w:val="16"/>
        </w:rPr>
        <w:t xml:space="preserve"> su iz valute mjerenja </w:t>
      </w:r>
      <w:r w:rsidR="002A3A27">
        <w:rPr>
          <w:rFonts w:eastAsia="Times New Roman" w:cs="Arial"/>
          <w:sz w:val="16"/>
          <w:szCs w:val="16"/>
        </w:rPr>
        <w:t>(</w:t>
      </w:r>
      <w:r w:rsidRPr="009B45AB">
        <w:rPr>
          <w:rFonts w:eastAsia="Times New Roman" w:cs="Arial"/>
          <w:sz w:val="16"/>
          <w:szCs w:val="16"/>
        </w:rPr>
        <w:t>kuna</w:t>
      </w:r>
      <w:r w:rsidR="002A3A27">
        <w:rPr>
          <w:rFonts w:eastAsia="Times New Roman" w:cs="Arial"/>
          <w:sz w:val="16"/>
          <w:szCs w:val="16"/>
        </w:rPr>
        <w:t>)</w:t>
      </w:r>
      <w:r w:rsidRPr="009B45AB">
        <w:rPr>
          <w:rFonts w:eastAsia="Times New Roman" w:cs="Arial"/>
          <w:sz w:val="16"/>
          <w:szCs w:val="16"/>
        </w:rPr>
        <w:t xml:space="preserve"> u euro koristeći prosječne tečajeve u 2021. godini (1 EUR=7,524183 HRK</w:t>
      </w:r>
      <w:r w:rsidR="00AF6052">
        <w:rPr>
          <w:rFonts w:eastAsia="Times New Roman" w:cs="Arial"/>
          <w:sz w:val="16"/>
          <w:szCs w:val="16"/>
        </w:rPr>
        <w:t>)</w:t>
      </w:r>
    </w:p>
    <w:p w14:paraId="0282C8DA" w14:textId="77777777" w:rsidR="001B0DA3" w:rsidRDefault="001B0DA3" w:rsidP="009452E1">
      <w:pPr>
        <w:pStyle w:val="ListParagraph"/>
        <w:tabs>
          <w:tab w:val="left" w:pos="-720"/>
          <w:tab w:val="left" w:pos="426"/>
        </w:tabs>
        <w:suppressAutoHyphens/>
        <w:spacing w:after="0" w:line="240" w:lineRule="auto"/>
        <w:ind w:left="284" w:hanging="284"/>
        <w:jc w:val="both"/>
        <w:rPr>
          <w:rFonts w:eastAsia="Times New Roman" w:cs="Arial"/>
          <w:sz w:val="16"/>
          <w:szCs w:val="16"/>
        </w:rPr>
      </w:pPr>
    </w:p>
    <w:p w14:paraId="046FAFE3" w14:textId="1149DB30" w:rsidR="001B0DA3" w:rsidRPr="009B45AB" w:rsidRDefault="001B0DA3" w:rsidP="009452E1">
      <w:pPr>
        <w:pStyle w:val="ListParagraph"/>
        <w:tabs>
          <w:tab w:val="left" w:pos="-720"/>
          <w:tab w:val="left" w:pos="426"/>
        </w:tabs>
        <w:suppressAutoHyphens/>
        <w:spacing w:after="0" w:line="240" w:lineRule="auto"/>
        <w:ind w:left="284" w:hanging="284"/>
        <w:jc w:val="both"/>
        <w:rPr>
          <w:rFonts w:eastAsia="Times New Roman" w:cs="Arial"/>
          <w:sz w:val="16"/>
          <w:szCs w:val="16"/>
        </w:rPr>
        <w:sectPr w:rsidR="001B0DA3" w:rsidRPr="009B45AB" w:rsidSect="00A21432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  <w:r>
        <w:rPr>
          <w:rFonts w:eastAsia="Times New Roman" w:cs="Arial"/>
          <w:sz w:val="16"/>
          <w:szCs w:val="16"/>
        </w:rPr>
        <w:t xml:space="preserve">** Iznosi u računu dobiti i gubitka preračunati su iz valute mjerenja </w:t>
      </w:r>
      <w:r w:rsidR="002A3A27">
        <w:rPr>
          <w:rFonts w:eastAsia="Times New Roman" w:cs="Arial"/>
          <w:sz w:val="16"/>
          <w:szCs w:val="16"/>
        </w:rPr>
        <w:t>(</w:t>
      </w:r>
      <w:r>
        <w:rPr>
          <w:rFonts w:eastAsia="Times New Roman" w:cs="Arial"/>
          <w:sz w:val="16"/>
          <w:szCs w:val="16"/>
        </w:rPr>
        <w:t>kuna</w:t>
      </w:r>
      <w:r w:rsidR="002A3A27">
        <w:rPr>
          <w:rFonts w:eastAsia="Times New Roman" w:cs="Arial"/>
          <w:sz w:val="16"/>
          <w:szCs w:val="16"/>
        </w:rPr>
        <w:t>)</w:t>
      </w:r>
      <w:r>
        <w:rPr>
          <w:rFonts w:eastAsia="Times New Roman" w:cs="Arial"/>
          <w:sz w:val="16"/>
          <w:szCs w:val="16"/>
        </w:rPr>
        <w:t xml:space="preserve"> u euro koristeći fiksni tečaj konverzije kune u euro ( 1 EUR=7,53450 HRK).</w:t>
      </w:r>
    </w:p>
    <w:p w14:paraId="4BBB4ACA" w14:textId="77777777" w:rsidR="009452E1" w:rsidRPr="005504D6" w:rsidRDefault="009452E1" w:rsidP="00530A6E">
      <w:pPr>
        <w:pStyle w:val="ListParagraph"/>
        <w:tabs>
          <w:tab w:val="left" w:pos="-720"/>
          <w:tab w:val="left" w:pos="709"/>
        </w:tabs>
        <w:suppressAutoHyphens/>
        <w:spacing w:after="0" w:line="240" w:lineRule="auto"/>
        <w:ind w:left="709" w:hanging="425"/>
        <w:jc w:val="both"/>
        <w:rPr>
          <w:rFonts w:eastAsia="Times New Roman" w:cs="Arial"/>
          <w:b/>
          <w:bCs/>
          <w:sz w:val="20"/>
        </w:rPr>
      </w:pPr>
      <w:r w:rsidRPr="005504D6">
        <w:rPr>
          <w:rFonts w:eastAsia="Times New Roman" w:cs="Arial"/>
          <w:b/>
          <w:bCs/>
          <w:sz w:val="20"/>
        </w:rPr>
        <w:lastRenderedPageBreak/>
        <w:t xml:space="preserve">b) </w:t>
      </w:r>
      <w:r w:rsidR="00530A6E" w:rsidRPr="005504D6">
        <w:rPr>
          <w:rFonts w:eastAsia="Times New Roman" w:cs="Arial"/>
          <w:b/>
          <w:bCs/>
          <w:sz w:val="20"/>
        </w:rPr>
        <w:tab/>
      </w:r>
      <w:r w:rsidRPr="005504D6">
        <w:rPr>
          <w:rFonts w:eastAsia="Times New Roman" w:cs="Arial"/>
          <w:b/>
          <w:bCs/>
          <w:sz w:val="20"/>
        </w:rPr>
        <w:t>Plan Izvještaja o Financijskom položaju HBOR-a na dan 31.12. i trendovi kretanja:</w:t>
      </w:r>
    </w:p>
    <w:p w14:paraId="6B31117B" w14:textId="77777777" w:rsidR="00A3357C" w:rsidRPr="009452E1" w:rsidRDefault="00A3357C" w:rsidP="00982517">
      <w:pPr>
        <w:spacing w:after="0" w:line="240" w:lineRule="auto"/>
        <w:jc w:val="both"/>
        <w:rPr>
          <w:rFonts w:asciiTheme="minorHAnsi" w:hAnsiTheme="minorHAnsi"/>
          <w:b/>
          <w:sz w:val="16"/>
          <w:szCs w:val="16"/>
          <w:highlight w:val="yellow"/>
        </w:rPr>
      </w:pPr>
    </w:p>
    <w:tbl>
      <w:tblPr>
        <w:tblW w:w="15720" w:type="dxa"/>
        <w:jc w:val="center"/>
        <w:tblLayout w:type="fixed"/>
        <w:tblLook w:val="04A0" w:firstRow="1" w:lastRow="0" w:firstColumn="1" w:lastColumn="0" w:noHBand="0" w:noVBand="1"/>
      </w:tblPr>
      <w:tblGrid>
        <w:gridCol w:w="4379"/>
        <w:gridCol w:w="6"/>
        <w:gridCol w:w="1252"/>
        <w:gridCol w:w="21"/>
        <w:gridCol w:w="1237"/>
        <w:gridCol w:w="29"/>
        <w:gridCol w:w="1136"/>
        <w:gridCol w:w="93"/>
        <w:gridCol w:w="1185"/>
        <w:gridCol w:w="76"/>
        <w:gridCol w:w="1202"/>
        <w:gridCol w:w="58"/>
        <w:gridCol w:w="1218"/>
        <w:gridCol w:w="41"/>
        <w:gridCol w:w="1258"/>
        <w:gridCol w:w="1265"/>
        <w:gridCol w:w="1132"/>
        <w:gridCol w:w="126"/>
        <w:gridCol w:w="6"/>
      </w:tblGrid>
      <w:tr w:rsidR="00427720" w:rsidRPr="00514A44" w14:paraId="30C4A596" w14:textId="77777777" w:rsidTr="00B86896">
        <w:trPr>
          <w:gridAfter w:val="2"/>
          <w:wAfter w:w="132" w:type="dxa"/>
          <w:trHeight w:val="90"/>
          <w:jc w:val="center"/>
        </w:trPr>
        <w:tc>
          <w:tcPr>
            <w:tcW w:w="4385" w:type="dxa"/>
            <w:gridSpan w:val="2"/>
            <w:tcBorders>
              <w:bottom w:val="nil"/>
            </w:tcBorders>
            <w:shd w:val="clear" w:color="000000" w:fill="FFFFFF"/>
            <w:vAlign w:val="bottom"/>
          </w:tcPr>
          <w:p w14:paraId="54787D50" w14:textId="77777777" w:rsidR="00427720" w:rsidRPr="005504D6" w:rsidRDefault="00427720" w:rsidP="009B45A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1203" w:type="dxa"/>
            <w:gridSpan w:val="15"/>
            <w:tcBorders>
              <w:bottom w:val="nil"/>
            </w:tcBorders>
            <w:shd w:val="clear" w:color="000000" w:fill="FFFFFF"/>
            <w:noWrap/>
            <w:vAlign w:val="bottom"/>
            <w:hideMark/>
          </w:tcPr>
          <w:p w14:paraId="2D6C59FA" w14:textId="77777777" w:rsidR="00427720" w:rsidRPr="00514A44" w:rsidRDefault="00427720" w:rsidP="009B45A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IZVJEŠTAJ O FINANCIJSKOM POLOŽAJU SA STANJEM NA 31.12.</w:t>
            </w:r>
          </w:p>
        </w:tc>
      </w:tr>
      <w:tr w:rsidR="00C0487F" w:rsidRPr="00514A44" w14:paraId="6D48FFFF" w14:textId="77777777" w:rsidTr="00B86896">
        <w:trPr>
          <w:gridAfter w:val="2"/>
          <w:wAfter w:w="132" w:type="dxa"/>
          <w:trHeight w:val="103"/>
          <w:jc w:val="center"/>
        </w:trPr>
        <w:tc>
          <w:tcPr>
            <w:tcW w:w="5658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3113633" w14:textId="77777777" w:rsidR="0051020F" w:rsidRPr="00514A44" w:rsidRDefault="0051020F" w:rsidP="009452E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58F9AD" w14:textId="77777777" w:rsidR="0051020F" w:rsidRPr="00514A44" w:rsidRDefault="0051020F" w:rsidP="009452E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E6F2FB3" w14:textId="77777777" w:rsidR="0051020F" w:rsidRPr="00514A44" w:rsidRDefault="0051020F" w:rsidP="009452E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85CC4D" w14:textId="77777777" w:rsidR="0051020F" w:rsidRPr="00514A44" w:rsidRDefault="0051020F" w:rsidP="009452E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FBA3DB" w14:textId="77777777" w:rsidR="0051020F" w:rsidRPr="00514A44" w:rsidRDefault="0051020F" w:rsidP="009452E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C9C208" w14:textId="77777777" w:rsidR="0051020F" w:rsidRPr="00514A44" w:rsidRDefault="0051020F" w:rsidP="009452E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256C99" w14:textId="77777777" w:rsidR="0051020F" w:rsidRPr="00514A44" w:rsidRDefault="0051020F" w:rsidP="009452E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3EC31" w14:textId="063509FA" w:rsidR="0051020F" w:rsidRPr="00B94415" w:rsidRDefault="0051020F" w:rsidP="009452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B94415">
              <w:rPr>
                <w:rFonts w:eastAsia="Times New Roman" w:cs="Arial"/>
                <w:sz w:val="16"/>
                <w:szCs w:val="16"/>
              </w:rPr>
              <w:t xml:space="preserve"> (</w:t>
            </w:r>
            <w:r w:rsidR="00C21B80" w:rsidRPr="00B94415">
              <w:rPr>
                <w:rFonts w:eastAsia="Times New Roman" w:cs="Arial"/>
                <w:sz w:val="16"/>
                <w:szCs w:val="16"/>
              </w:rPr>
              <w:t xml:space="preserve">u </w:t>
            </w:r>
            <w:r w:rsidR="00484EAB" w:rsidRPr="00B94415">
              <w:rPr>
                <w:rFonts w:eastAsia="Times New Roman" w:cs="Arial"/>
                <w:sz w:val="16"/>
                <w:szCs w:val="16"/>
              </w:rPr>
              <w:t>EUR</w:t>
            </w:r>
            <w:r w:rsidRPr="00B94415">
              <w:rPr>
                <w:rFonts w:eastAsia="Times New Roman" w:cs="Arial"/>
                <w:sz w:val="16"/>
                <w:szCs w:val="16"/>
              </w:rPr>
              <w:t>; indeks)</w:t>
            </w:r>
          </w:p>
        </w:tc>
      </w:tr>
      <w:tr w:rsidR="00C0487F" w:rsidRPr="00514A44" w14:paraId="58295720" w14:textId="77777777" w:rsidTr="00B86896">
        <w:trPr>
          <w:gridAfter w:val="1"/>
          <w:wAfter w:w="6" w:type="dxa"/>
          <w:trHeight w:val="81"/>
          <w:jc w:val="center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91BE91" w14:textId="77777777" w:rsidR="0051020F" w:rsidRPr="00514A44" w:rsidRDefault="0051020F" w:rsidP="004277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488DEE" w14:textId="10947A2D" w:rsidR="0051020F" w:rsidRPr="00514A44" w:rsidRDefault="0051020F" w:rsidP="004277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Ostvarenje 20</w:t>
            </w:r>
            <w:r w:rsidR="00D07168" w:rsidRPr="00514A44">
              <w:rPr>
                <w:rFonts w:eastAsia="Times New Roman" w:cs="Arial"/>
                <w:b/>
                <w:bCs/>
                <w:sz w:val="16"/>
                <w:szCs w:val="16"/>
              </w:rPr>
              <w:t>2</w:t>
            </w:r>
            <w:r w:rsidR="004B35D0" w:rsidRPr="00514A44">
              <w:rPr>
                <w:rFonts w:eastAsia="Times New Roman" w:cs="Arial"/>
                <w:b/>
                <w:bCs/>
                <w:sz w:val="16"/>
                <w:szCs w:val="16"/>
              </w:rPr>
              <w:t>1</w:t>
            </w: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.</w:t>
            </w:r>
            <w:r w:rsidR="002A5D55" w:rsidRPr="00514A44">
              <w:rPr>
                <w:rFonts w:eastAsia="Times New Roman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79A15A" w14:textId="71CC64D0" w:rsidR="0051020F" w:rsidRPr="00514A44" w:rsidRDefault="0051020F" w:rsidP="004277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Ostvarenje 20</w:t>
            </w:r>
            <w:r w:rsidR="00F7452B" w:rsidRPr="00514A44">
              <w:rPr>
                <w:rFonts w:eastAsia="Times New Roman" w:cs="Arial"/>
                <w:b/>
                <w:bCs/>
                <w:sz w:val="16"/>
                <w:szCs w:val="16"/>
              </w:rPr>
              <w:t>2</w:t>
            </w:r>
            <w:r w:rsidR="004B35D0" w:rsidRPr="00514A44">
              <w:rPr>
                <w:rFonts w:eastAsia="Times New Roman" w:cs="Arial"/>
                <w:b/>
                <w:bCs/>
                <w:sz w:val="16"/>
                <w:szCs w:val="16"/>
              </w:rPr>
              <w:t>2</w:t>
            </w: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.</w:t>
            </w:r>
            <w:r w:rsidR="002A5D55" w:rsidRPr="00514A44">
              <w:rPr>
                <w:rFonts w:eastAsia="Times New Roman" w:cs="Arial"/>
                <w:b/>
                <w:bCs/>
                <w:sz w:val="16"/>
                <w:szCs w:val="16"/>
              </w:rPr>
              <w:t>*</w:t>
            </w:r>
            <w:r w:rsidR="00897678" w:rsidRPr="00514A44">
              <w:rPr>
                <w:rFonts w:eastAsia="Times New Roman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D2FD4E2" w14:textId="77777777" w:rsidR="00DC21D2" w:rsidRPr="00514A44" w:rsidRDefault="00DD17AB" w:rsidP="00DC21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Procjena</w:t>
            </w:r>
          </w:p>
          <w:p w14:paraId="0F06BE1E" w14:textId="63A9F6BD" w:rsidR="0051020F" w:rsidRPr="00514A44" w:rsidRDefault="00DC21D2" w:rsidP="00AD40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20</w:t>
            </w:r>
            <w:r w:rsidR="00F7452B" w:rsidRPr="00514A44">
              <w:rPr>
                <w:rFonts w:eastAsia="Times New Roman" w:cs="Arial"/>
                <w:b/>
                <w:bCs/>
                <w:sz w:val="16"/>
                <w:szCs w:val="16"/>
              </w:rPr>
              <w:t>2</w:t>
            </w:r>
            <w:r w:rsidR="004B35D0" w:rsidRPr="00514A44">
              <w:rPr>
                <w:rFonts w:eastAsia="Times New Roman" w:cs="Arial"/>
                <w:b/>
                <w:bCs/>
                <w:sz w:val="16"/>
                <w:szCs w:val="16"/>
              </w:rPr>
              <w:t>3</w:t>
            </w: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0B83A7A" w14:textId="26FC3F07" w:rsidR="0051020F" w:rsidRPr="00514A44" w:rsidRDefault="0051020F" w:rsidP="004277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 xml:space="preserve">Trogodišnji </w:t>
            </w:r>
            <w:r w:rsidR="002A5D55" w:rsidRPr="00514A44">
              <w:rPr>
                <w:rFonts w:eastAsia="Times New Roman" w:cs="Arial"/>
                <w:b/>
                <w:bCs/>
                <w:sz w:val="16"/>
                <w:szCs w:val="16"/>
              </w:rPr>
              <w:sym w:font="Symbol" w:char="F0C6"/>
            </w: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br/>
              <w:t>20</w:t>
            </w:r>
            <w:r w:rsidR="00D07168" w:rsidRPr="00514A44">
              <w:rPr>
                <w:rFonts w:eastAsia="Times New Roman" w:cs="Arial"/>
                <w:b/>
                <w:bCs/>
                <w:sz w:val="16"/>
                <w:szCs w:val="16"/>
              </w:rPr>
              <w:t>2</w:t>
            </w:r>
            <w:r w:rsidR="004B35D0" w:rsidRPr="00514A44">
              <w:rPr>
                <w:rFonts w:eastAsia="Times New Roman" w:cs="Arial"/>
                <w:b/>
                <w:bCs/>
                <w:sz w:val="16"/>
                <w:szCs w:val="16"/>
              </w:rPr>
              <w:t>1</w:t>
            </w: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.-20</w:t>
            </w:r>
            <w:r w:rsidR="00236990" w:rsidRPr="00514A44">
              <w:rPr>
                <w:rFonts w:eastAsia="Times New Roman" w:cs="Arial"/>
                <w:b/>
                <w:bCs/>
                <w:sz w:val="16"/>
                <w:szCs w:val="16"/>
              </w:rPr>
              <w:t>2</w:t>
            </w:r>
            <w:r w:rsidR="004B35D0" w:rsidRPr="00514A44">
              <w:rPr>
                <w:rFonts w:eastAsia="Times New Roman" w:cs="Arial"/>
                <w:b/>
                <w:bCs/>
                <w:sz w:val="16"/>
                <w:szCs w:val="16"/>
              </w:rPr>
              <w:t>3</w:t>
            </w: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A808EE" w14:textId="548F40C9" w:rsidR="0051020F" w:rsidRPr="00514A44" w:rsidRDefault="0051020F" w:rsidP="004277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Plan za 202</w:t>
            </w:r>
            <w:r w:rsidR="004B35D0" w:rsidRPr="00514A44">
              <w:rPr>
                <w:rFonts w:eastAsia="Times New Roman" w:cs="Arial"/>
                <w:b/>
                <w:bCs/>
                <w:sz w:val="16"/>
                <w:szCs w:val="16"/>
              </w:rPr>
              <w:t>4</w:t>
            </w: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6B452F" w14:textId="416180F3" w:rsidR="0051020F" w:rsidRPr="00514A44" w:rsidRDefault="0051020F" w:rsidP="004277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Plan za 202</w:t>
            </w:r>
            <w:r w:rsidR="004B35D0" w:rsidRPr="00514A44">
              <w:rPr>
                <w:rFonts w:eastAsia="Times New Roman" w:cs="Arial"/>
                <w:b/>
                <w:bCs/>
                <w:sz w:val="16"/>
                <w:szCs w:val="16"/>
              </w:rPr>
              <w:t>5</w:t>
            </w: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4A1B27" w14:textId="19F4C8EA" w:rsidR="0051020F" w:rsidRPr="00514A44" w:rsidRDefault="0051020F" w:rsidP="004277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Plan za 202</w:t>
            </w:r>
            <w:r w:rsidR="004B35D0" w:rsidRPr="00514A44">
              <w:rPr>
                <w:rFonts w:eastAsia="Times New Roman" w:cs="Arial"/>
                <w:b/>
                <w:bCs/>
                <w:sz w:val="16"/>
                <w:szCs w:val="16"/>
              </w:rPr>
              <w:t>6</w:t>
            </w: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B008367" w14:textId="44A81C11" w:rsidR="0051020F" w:rsidRPr="00514A44" w:rsidRDefault="0051020F" w:rsidP="004277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 xml:space="preserve">Trogodišnji </w:t>
            </w:r>
            <w:r w:rsidR="002A5D55" w:rsidRPr="00514A44">
              <w:rPr>
                <w:rFonts w:eastAsia="Times New Roman" w:cs="Arial"/>
                <w:b/>
                <w:bCs/>
                <w:sz w:val="16"/>
                <w:szCs w:val="16"/>
              </w:rPr>
              <w:sym w:font="Symbol" w:char="F0C6"/>
            </w: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br/>
              <w:t>202</w:t>
            </w:r>
            <w:r w:rsidR="004B35D0" w:rsidRPr="00514A44">
              <w:rPr>
                <w:rFonts w:eastAsia="Times New Roman" w:cs="Arial"/>
                <w:b/>
                <w:bCs/>
                <w:sz w:val="16"/>
                <w:szCs w:val="16"/>
              </w:rPr>
              <w:t>4</w:t>
            </w: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.-202</w:t>
            </w:r>
            <w:r w:rsidR="004B35D0" w:rsidRPr="00514A44">
              <w:rPr>
                <w:rFonts w:eastAsia="Times New Roman" w:cs="Arial"/>
                <w:b/>
                <w:bCs/>
                <w:sz w:val="16"/>
                <w:szCs w:val="16"/>
              </w:rPr>
              <w:t>6</w:t>
            </w: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F743" w14:textId="22EB1337" w:rsidR="0051020F" w:rsidRPr="00514A44" w:rsidRDefault="0051020F" w:rsidP="004277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 xml:space="preserve">Indeks </w:t>
            </w:r>
            <w:r w:rsidR="002A5D55" w:rsidRPr="00514A44">
              <w:rPr>
                <w:rFonts w:eastAsia="Times New Roman" w:cs="Arial"/>
                <w:b/>
                <w:bCs/>
                <w:sz w:val="18"/>
                <w:szCs w:val="18"/>
              </w:rPr>
              <w:sym w:font="Symbol" w:char="F0C6"/>
            </w:r>
          </w:p>
          <w:p w14:paraId="3BC38DF2" w14:textId="3379518F" w:rsidR="0051020F" w:rsidRPr="00514A44" w:rsidRDefault="0051020F" w:rsidP="004277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'2</w:t>
            </w:r>
            <w:r w:rsidR="004B35D0" w:rsidRPr="00514A44">
              <w:rPr>
                <w:rFonts w:eastAsia="Times New Roman" w:cs="Arial"/>
                <w:b/>
                <w:bCs/>
                <w:sz w:val="18"/>
                <w:szCs w:val="18"/>
              </w:rPr>
              <w:t>4</w:t>
            </w: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.-'2</w:t>
            </w:r>
            <w:r w:rsidR="004B35D0" w:rsidRPr="00514A44">
              <w:rPr>
                <w:rFonts w:eastAsia="Times New Roman" w:cs="Arial"/>
                <w:b/>
                <w:bCs/>
                <w:sz w:val="18"/>
                <w:szCs w:val="18"/>
              </w:rPr>
              <w:t>6</w:t>
            </w: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./</w:t>
            </w:r>
            <w:r w:rsidR="002A5D55" w:rsidRPr="00514A44">
              <w:rPr>
                <w:rFonts w:eastAsia="Times New Roman" w:cs="Arial"/>
                <w:b/>
                <w:bCs/>
                <w:sz w:val="18"/>
                <w:szCs w:val="18"/>
              </w:rPr>
              <w:sym w:font="Symbol" w:char="F0C6"/>
            </w: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 xml:space="preserve"> </w:t>
            </w:r>
            <w:r w:rsidR="00484EAB" w:rsidRPr="00514A44">
              <w:rPr>
                <w:rFonts w:eastAsia="Times New Roman" w:cs="Arial"/>
                <w:b/>
                <w:bCs/>
                <w:sz w:val="18"/>
                <w:szCs w:val="18"/>
              </w:rPr>
              <w:t>'</w:t>
            </w:r>
            <w:r w:rsidR="00D07168" w:rsidRPr="00514A44">
              <w:rPr>
                <w:rFonts w:eastAsia="Times New Roman" w:cs="Arial"/>
                <w:b/>
                <w:bCs/>
                <w:sz w:val="18"/>
                <w:szCs w:val="18"/>
              </w:rPr>
              <w:t>2</w:t>
            </w:r>
            <w:r w:rsidR="004B35D0" w:rsidRPr="00514A44">
              <w:rPr>
                <w:rFonts w:eastAsia="Times New Roman" w:cs="Arial"/>
                <w:b/>
                <w:bCs/>
                <w:sz w:val="18"/>
                <w:szCs w:val="18"/>
              </w:rPr>
              <w:t>1</w:t>
            </w: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.-</w:t>
            </w:r>
            <w:r w:rsidR="00484EAB" w:rsidRPr="00514A44">
              <w:rPr>
                <w:rFonts w:eastAsia="Times New Roman" w:cs="Arial"/>
                <w:b/>
                <w:bCs/>
                <w:sz w:val="18"/>
                <w:szCs w:val="18"/>
              </w:rPr>
              <w:t>'</w:t>
            </w:r>
            <w:r w:rsidR="00236990" w:rsidRPr="00514A44">
              <w:rPr>
                <w:rFonts w:eastAsia="Times New Roman" w:cs="Arial"/>
                <w:b/>
                <w:bCs/>
                <w:sz w:val="18"/>
                <w:szCs w:val="18"/>
              </w:rPr>
              <w:t>2</w:t>
            </w:r>
            <w:r w:rsidR="004B35D0" w:rsidRPr="00514A44">
              <w:rPr>
                <w:rFonts w:eastAsia="Times New Roman" w:cs="Arial"/>
                <w:b/>
                <w:bCs/>
                <w:sz w:val="18"/>
                <w:szCs w:val="18"/>
              </w:rPr>
              <w:t>3</w:t>
            </w: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.</w:t>
            </w:r>
          </w:p>
        </w:tc>
      </w:tr>
      <w:tr w:rsidR="00484EAB" w:rsidRPr="00514A44" w14:paraId="41FE76D5" w14:textId="77777777" w:rsidTr="00B86896">
        <w:trPr>
          <w:trHeight w:val="234"/>
          <w:jc w:val="center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44546A"/>
            <w:vAlign w:val="bottom"/>
            <w:hideMark/>
          </w:tcPr>
          <w:p w14:paraId="45005B23" w14:textId="77777777" w:rsidR="0051020F" w:rsidRPr="00514A44" w:rsidRDefault="0051020F" w:rsidP="00CF135F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  <w:t>IMOVINA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46A"/>
            <w:noWrap/>
            <w:vAlign w:val="bottom"/>
            <w:hideMark/>
          </w:tcPr>
          <w:p w14:paraId="39B538DD" w14:textId="77777777" w:rsidR="0051020F" w:rsidRPr="00514A44" w:rsidRDefault="0051020F" w:rsidP="00CF135F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46A"/>
            <w:noWrap/>
            <w:vAlign w:val="bottom"/>
            <w:hideMark/>
          </w:tcPr>
          <w:p w14:paraId="78534661" w14:textId="77777777" w:rsidR="0051020F" w:rsidRPr="00514A44" w:rsidRDefault="0051020F" w:rsidP="00CF135F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46A"/>
            <w:vAlign w:val="bottom"/>
          </w:tcPr>
          <w:p w14:paraId="2DBFFE1C" w14:textId="77777777" w:rsidR="0051020F" w:rsidRPr="00514A44" w:rsidRDefault="0051020F" w:rsidP="00CF135F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46A"/>
            <w:noWrap/>
            <w:vAlign w:val="bottom"/>
            <w:hideMark/>
          </w:tcPr>
          <w:p w14:paraId="39845037" w14:textId="77777777" w:rsidR="0051020F" w:rsidRPr="00514A44" w:rsidRDefault="0051020F" w:rsidP="00CF135F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  <w:hideMark/>
          </w:tcPr>
          <w:p w14:paraId="240611DE" w14:textId="77777777" w:rsidR="0051020F" w:rsidRPr="00514A44" w:rsidRDefault="0051020F" w:rsidP="00CF135F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  <w:hideMark/>
          </w:tcPr>
          <w:p w14:paraId="17E83ADB" w14:textId="77777777" w:rsidR="0051020F" w:rsidRPr="00514A44" w:rsidRDefault="0051020F" w:rsidP="00CF135F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  <w:hideMark/>
          </w:tcPr>
          <w:p w14:paraId="4326A8CB" w14:textId="77777777" w:rsidR="0051020F" w:rsidRPr="00514A44" w:rsidRDefault="0051020F" w:rsidP="00CF135F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  <w:hideMark/>
          </w:tcPr>
          <w:p w14:paraId="3D26474B" w14:textId="77777777" w:rsidR="0051020F" w:rsidRPr="00514A44" w:rsidRDefault="0051020F" w:rsidP="00CF135F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44546A"/>
            <w:noWrap/>
            <w:vAlign w:val="bottom"/>
            <w:hideMark/>
          </w:tcPr>
          <w:p w14:paraId="0089D008" w14:textId="77777777" w:rsidR="0051020F" w:rsidRPr="00514A44" w:rsidRDefault="0051020F" w:rsidP="00CF135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</w:tr>
      <w:tr w:rsidR="00897678" w:rsidRPr="00514A44" w14:paraId="7C57B227" w14:textId="77777777" w:rsidTr="00B86896">
        <w:trPr>
          <w:gridAfter w:val="2"/>
          <w:wAfter w:w="132" w:type="dxa"/>
          <w:trHeight w:hRule="exact" w:val="232"/>
          <w:jc w:val="center"/>
        </w:trPr>
        <w:tc>
          <w:tcPr>
            <w:tcW w:w="4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19E7F" w14:textId="77777777" w:rsidR="00897678" w:rsidRPr="00514A44" w:rsidRDefault="00897678" w:rsidP="0089767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514A44">
              <w:rPr>
                <w:rFonts w:eastAsia="Times New Roman" w:cs="Arial"/>
                <w:color w:val="000000"/>
                <w:sz w:val="16"/>
                <w:szCs w:val="16"/>
              </w:rPr>
              <w:t>Novčana sredstva i računi kod banaka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60A0" w14:textId="00AC06C5" w:rsidR="00897678" w:rsidRPr="00437372" w:rsidRDefault="00897678" w:rsidP="0089767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260.552.702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9C8F2" w14:textId="4D99542D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227.821.177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EB831" w14:textId="283177B4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56.967.000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587D0631" w14:textId="3BF2FD3D" w:rsidR="00897678" w:rsidRPr="00437372" w:rsidRDefault="00897678" w:rsidP="003451C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181.780.293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37033" w14:textId="6F699B81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66.447.000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42BAC" w14:textId="58E8705F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43.751.000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C227A" w14:textId="71B5E441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32.183.000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62E3769D" w14:textId="7CFD4EFC" w:rsidR="00897678" w:rsidRPr="00437372" w:rsidRDefault="00897678" w:rsidP="003451CC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47.460.333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A4C23" w14:textId="5E5ABD2E" w:rsidR="00897678" w:rsidRPr="00437372" w:rsidRDefault="00897678" w:rsidP="003451CC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26</w:t>
            </w:r>
          </w:p>
        </w:tc>
      </w:tr>
      <w:tr w:rsidR="00897678" w:rsidRPr="00514A44" w14:paraId="4A0704AC" w14:textId="77777777" w:rsidTr="00B86896">
        <w:trPr>
          <w:gridAfter w:val="2"/>
          <w:wAfter w:w="132" w:type="dxa"/>
          <w:trHeight w:hRule="exact" w:val="232"/>
          <w:jc w:val="center"/>
        </w:trPr>
        <w:tc>
          <w:tcPr>
            <w:tcW w:w="4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A8165" w14:textId="77777777" w:rsidR="00897678" w:rsidRPr="00514A44" w:rsidRDefault="00897678" w:rsidP="00897678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eastAsia="Times New Roman" w:cs="Arial"/>
                <w:sz w:val="16"/>
                <w:szCs w:val="16"/>
              </w:rPr>
              <w:t>Depoziti kod drugih banaka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EA03" w14:textId="407675DE" w:rsidR="00897678" w:rsidRPr="00437372" w:rsidRDefault="00897678" w:rsidP="0089767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997.715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86BA0" w14:textId="788DD842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1.406.365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C5C09A" w14:textId="5E83945C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103.317.000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37AA7DE" w14:textId="2D164C30" w:rsidR="00897678" w:rsidRPr="00437372" w:rsidRDefault="00897678" w:rsidP="003451CC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35.240.360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6B3E9" w14:textId="7788CF89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89.853.000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0B754" w14:textId="3D2BEE41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159.279.000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5E883" w14:textId="56413DAE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195.333.000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5D6598A5" w14:textId="280CC697" w:rsidR="00897678" w:rsidRPr="00437372" w:rsidRDefault="00897678" w:rsidP="003451CC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148.155.000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DCE7B" w14:textId="54BE2D73" w:rsidR="00897678" w:rsidRPr="00437372" w:rsidRDefault="00897678" w:rsidP="003451CC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420</w:t>
            </w:r>
          </w:p>
        </w:tc>
      </w:tr>
      <w:tr w:rsidR="00897678" w:rsidRPr="00514A44" w14:paraId="0980A530" w14:textId="77777777" w:rsidTr="00B86896">
        <w:trPr>
          <w:gridAfter w:val="2"/>
          <w:wAfter w:w="132" w:type="dxa"/>
          <w:trHeight w:hRule="exact" w:val="232"/>
          <w:jc w:val="center"/>
        </w:trPr>
        <w:tc>
          <w:tcPr>
            <w:tcW w:w="4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B18F9" w14:textId="77777777" w:rsidR="00897678" w:rsidRPr="00514A44" w:rsidRDefault="00897678" w:rsidP="00897678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eastAsia="Times New Roman" w:cs="Arial"/>
                <w:sz w:val="16"/>
                <w:szCs w:val="16"/>
              </w:rPr>
              <w:t>Krediti financijskim institucijama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BDCD" w14:textId="2DB7A71A" w:rsidR="00897678" w:rsidRPr="00437372" w:rsidRDefault="00897678" w:rsidP="0089767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937.871.466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36E43" w14:textId="6F221BEC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927.030.619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69E5DF" w14:textId="3C7239F1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1.171.238.000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53A45435" w14:textId="0E708B3D" w:rsidR="00897678" w:rsidRPr="00437372" w:rsidRDefault="00897678" w:rsidP="003451CC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1.012.046.695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F57EF" w14:textId="55673571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1.227.447.000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D4E22" w14:textId="2D24D2A1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1.321.382.000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B2DD2" w14:textId="4180743E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1.408.051.000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0D297F00" w14:textId="0ACEEB88" w:rsidR="00897678" w:rsidRPr="00437372" w:rsidRDefault="00897678" w:rsidP="003451CC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1.318.960.000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9CED6" w14:textId="727709E9" w:rsidR="00897678" w:rsidRPr="00437372" w:rsidRDefault="00897678" w:rsidP="003451CC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130</w:t>
            </w:r>
          </w:p>
        </w:tc>
      </w:tr>
      <w:tr w:rsidR="00897678" w:rsidRPr="00514A44" w14:paraId="2E9FEDEF" w14:textId="77777777" w:rsidTr="00B86896">
        <w:trPr>
          <w:gridAfter w:val="2"/>
          <w:wAfter w:w="132" w:type="dxa"/>
          <w:trHeight w:hRule="exact" w:val="232"/>
          <w:jc w:val="center"/>
        </w:trPr>
        <w:tc>
          <w:tcPr>
            <w:tcW w:w="4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DD3D1" w14:textId="77777777" w:rsidR="00897678" w:rsidRPr="00514A44" w:rsidRDefault="00897678" w:rsidP="00897678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eastAsia="Times New Roman" w:cs="Arial"/>
                <w:sz w:val="16"/>
                <w:szCs w:val="16"/>
              </w:rPr>
              <w:t>Krediti ostalim korisnicima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3C74C" w14:textId="01A53CF4" w:rsidR="00897678" w:rsidRPr="00437372" w:rsidRDefault="00897678" w:rsidP="0089767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2.123.720.430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1AEA9" w14:textId="0FC5B115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2.309.730.707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567391" w14:textId="313AF0F8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2.447.905.000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709C6A46" w14:textId="23134BB2" w:rsidR="00897678" w:rsidRPr="00437372" w:rsidRDefault="00897678" w:rsidP="003451CC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2.293.785.379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5EF26" w14:textId="12D3A3D3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2.427.568.000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D4580C" w14:textId="33F61BDC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2.473.658.000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42BCFE" w14:textId="6747B551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2.484.012.000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1359470D" w14:textId="3EC9044B" w:rsidR="00897678" w:rsidRPr="00437372" w:rsidRDefault="00897678" w:rsidP="003451CC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2.461.746.000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076AFA" w14:textId="361C7B80" w:rsidR="00897678" w:rsidRPr="00437372" w:rsidRDefault="00897678" w:rsidP="003451CC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107</w:t>
            </w:r>
          </w:p>
        </w:tc>
      </w:tr>
      <w:tr w:rsidR="00897678" w:rsidRPr="00514A44" w14:paraId="0E063D73" w14:textId="77777777" w:rsidTr="00B86896">
        <w:trPr>
          <w:gridAfter w:val="2"/>
          <w:wAfter w:w="132" w:type="dxa"/>
          <w:trHeight w:hRule="exact" w:val="232"/>
          <w:jc w:val="center"/>
        </w:trPr>
        <w:tc>
          <w:tcPr>
            <w:tcW w:w="4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7BFFE" w14:textId="77777777" w:rsidR="00897678" w:rsidRPr="00514A44" w:rsidRDefault="00897678" w:rsidP="00897678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eastAsia="Times New Roman" w:cs="Arial"/>
                <w:sz w:val="16"/>
                <w:szCs w:val="16"/>
              </w:rPr>
              <w:t>Financijska imovina po fer vrijednosti kroz dobit ili gubitak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D48C5" w14:textId="57F4A21F" w:rsidR="00897678" w:rsidRPr="00437372" w:rsidRDefault="00897678" w:rsidP="0089767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29.131.160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D6AB5" w14:textId="7F37F4DA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17.456.163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E383FC" w14:textId="7F0E1A79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57.086.000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6F4B3967" w14:textId="23F52E9D" w:rsidR="00897678" w:rsidRPr="00437372" w:rsidRDefault="00897678" w:rsidP="003451CC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34.557.774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6231F" w14:textId="6C0898F8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50.964.000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E3C19" w14:textId="00B8B878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76.386.000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44AC5" w14:textId="39D948B1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50.964.000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5A5508A" w14:textId="5B370338" w:rsidR="00897678" w:rsidRPr="00437372" w:rsidRDefault="00897678" w:rsidP="003451CC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59.438.000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FAA54" w14:textId="1305AB20" w:rsidR="00897678" w:rsidRPr="00437372" w:rsidRDefault="00897678" w:rsidP="003451CC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172</w:t>
            </w:r>
          </w:p>
        </w:tc>
      </w:tr>
      <w:tr w:rsidR="00897678" w:rsidRPr="00514A44" w14:paraId="0E552E76" w14:textId="77777777" w:rsidTr="00B86896">
        <w:trPr>
          <w:gridAfter w:val="2"/>
          <w:wAfter w:w="132" w:type="dxa"/>
          <w:trHeight w:hRule="exact" w:val="232"/>
          <w:jc w:val="center"/>
        </w:trPr>
        <w:tc>
          <w:tcPr>
            <w:tcW w:w="4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00B98" w14:textId="77777777" w:rsidR="00897678" w:rsidRPr="00514A44" w:rsidRDefault="00897678" w:rsidP="00897678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eastAsia="Times New Roman" w:cs="Arial"/>
                <w:sz w:val="16"/>
                <w:szCs w:val="16"/>
              </w:rPr>
              <w:t>Financijska imovina po fer vrijednosti kroz OSD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7D25" w14:textId="154305F8" w:rsidR="00897678" w:rsidRPr="00437372" w:rsidRDefault="00897678" w:rsidP="0089767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387.872.357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2AD64" w14:textId="3FF4BAB8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350.318.170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828A9A" w14:textId="1FF7F80C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268.926.000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160C1568" w14:textId="4B50F030" w:rsidR="00897678" w:rsidRPr="00437372" w:rsidRDefault="00897678" w:rsidP="003451CC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335.705.509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DF9FD" w14:textId="5FBAD915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242.998.000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C5C7E" w14:textId="55CB2D92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157.246.000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511BC" w14:textId="101B99E9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132.065.000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1462979" w14:textId="3B26EA47" w:rsidR="00897678" w:rsidRPr="00437372" w:rsidRDefault="00897678" w:rsidP="003451CC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177.436.333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1C812" w14:textId="2F971207" w:rsidR="00897678" w:rsidRPr="00437372" w:rsidRDefault="00897678" w:rsidP="003451CC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53</w:t>
            </w:r>
          </w:p>
        </w:tc>
      </w:tr>
      <w:tr w:rsidR="00897678" w:rsidRPr="00514A44" w14:paraId="21F1595B" w14:textId="77777777" w:rsidTr="00B86896">
        <w:trPr>
          <w:gridAfter w:val="2"/>
          <w:wAfter w:w="132" w:type="dxa"/>
          <w:trHeight w:hRule="exact" w:val="232"/>
          <w:jc w:val="center"/>
        </w:trPr>
        <w:tc>
          <w:tcPr>
            <w:tcW w:w="4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55FC8" w14:textId="77777777" w:rsidR="00897678" w:rsidRPr="00514A44" w:rsidRDefault="00897678" w:rsidP="00897678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eastAsia="Times New Roman" w:cs="Arial"/>
                <w:sz w:val="16"/>
                <w:szCs w:val="16"/>
              </w:rPr>
              <w:t>Ulaganja u ovisna društva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86A7" w14:textId="4C15B4EC" w:rsidR="00897678" w:rsidRPr="00437372" w:rsidRDefault="00897678" w:rsidP="0089767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4.805.529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2660B" w14:textId="61109349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7.448.878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A1A8BC" w14:textId="1A736607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7.449.000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0D30DFD" w14:textId="0C0215A5" w:rsidR="00897678" w:rsidRPr="00437372" w:rsidRDefault="00897678" w:rsidP="003451CC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6.567.802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C66A5" w14:textId="28F865AE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7.449.000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AA993" w14:textId="27C56CB9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7.449.000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839E1" w14:textId="0CE8D635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7.449.000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67F13F88" w14:textId="36721EBA" w:rsidR="00897678" w:rsidRPr="00437372" w:rsidRDefault="00897678" w:rsidP="003451CC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7.449.000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F3998" w14:textId="621DFEDB" w:rsidR="00897678" w:rsidRPr="00437372" w:rsidRDefault="00897678" w:rsidP="003451CC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113</w:t>
            </w:r>
          </w:p>
        </w:tc>
      </w:tr>
      <w:tr w:rsidR="00897678" w:rsidRPr="00514A44" w14:paraId="7ED560CB" w14:textId="77777777" w:rsidTr="00B86896">
        <w:trPr>
          <w:gridAfter w:val="2"/>
          <w:wAfter w:w="132" w:type="dxa"/>
          <w:trHeight w:hRule="exact" w:val="232"/>
          <w:jc w:val="center"/>
        </w:trPr>
        <w:tc>
          <w:tcPr>
            <w:tcW w:w="4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B0705" w14:textId="77777777" w:rsidR="00897678" w:rsidRPr="00514A44" w:rsidRDefault="00897678" w:rsidP="00897678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eastAsia="Times New Roman" w:cs="Arial"/>
                <w:sz w:val="16"/>
                <w:szCs w:val="16"/>
              </w:rPr>
              <w:t>Nekretnine, postrojenja i oprema i nematerijalna imovina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21D0" w14:textId="3A35A6BA" w:rsidR="00897678" w:rsidRPr="00437372" w:rsidRDefault="00897678" w:rsidP="0089767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5.676.868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2D79D" w14:textId="63670906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5.007.229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6A4EF" w14:textId="4F08D7A0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5.257.000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11724B41" w14:textId="6C5CA4BB" w:rsidR="00897678" w:rsidRPr="00437372" w:rsidRDefault="00897678" w:rsidP="003451CC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5.313.699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DBBB3" w14:textId="63DF375B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8.846.000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6BFFB" w14:textId="24CAF96C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12.073.000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FE6FC" w14:textId="44DFF635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15.347.000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99D337A" w14:textId="7FA35EF6" w:rsidR="00897678" w:rsidRPr="00437372" w:rsidRDefault="00897678" w:rsidP="003451CC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12.088.667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CB8AC" w14:textId="5AB592D2" w:rsidR="00897678" w:rsidRPr="00437372" w:rsidRDefault="00897678" w:rsidP="003451CC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228</w:t>
            </w:r>
          </w:p>
        </w:tc>
      </w:tr>
      <w:tr w:rsidR="00897678" w:rsidRPr="00514A44" w14:paraId="28AFF2BA" w14:textId="77777777" w:rsidTr="00B86896">
        <w:trPr>
          <w:gridAfter w:val="2"/>
          <w:wAfter w:w="132" w:type="dxa"/>
          <w:trHeight w:hRule="exact" w:val="232"/>
          <w:jc w:val="center"/>
        </w:trPr>
        <w:tc>
          <w:tcPr>
            <w:tcW w:w="4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F426E" w14:textId="77777777" w:rsidR="00897678" w:rsidRPr="00514A44" w:rsidRDefault="00897678" w:rsidP="00897678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eastAsia="Times New Roman" w:cs="Arial"/>
                <w:sz w:val="16"/>
                <w:szCs w:val="16"/>
              </w:rPr>
              <w:t>Preuzeta imovina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6B60" w14:textId="2B7036D2" w:rsidR="00897678" w:rsidRPr="00437372" w:rsidRDefault="00897678" w:rsidP="0089767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2.842.691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80D8E" w14:textId="418BD157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3.288.344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CC598" w14:textId="6C81D49C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2.243.000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1B553D3A" w14:textId="12BD1249" w:rsidR="00897678" w:rsidRPr="00437372" w:rsidRDefault="00897678" w:rsidP="003451CC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2.791.345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A87DA" w14:textId="2E28D349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1.677.000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A8F5D" w14:textId="491CAD44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1.600.000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A9C1B" w14:textId="05E28A08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1.108.000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5038FED" w14:textId="54966311" w:rsidR="00897678" w:rsidRPr="00437372" w:rsidRDefault="00897678" w:rsidP="003451CC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1.461.667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541F4" w14:textId="05FCFF40" w:rsidR="00897678" w:rsidRPr="00437372" w:rsidRDefault="00897678" w:rsidP="003451CC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52</w:t>
            </w:r>
          </w:p>
        </w:tc>
      </w:tr>
      <w:tr w:rsidR="00897678" w:rsidRPr="00514A44" w14:paraId="0728757C" w14:textId="77777777" w:rsidTr="00B86896">
        <w:trPr>
          <w:gridAfter w:val="2"/>
          <w:wAfter w:w="132" w:type="dxa"/>
          <w:trHeight w:hRule="exact" w:val="232"/>
          <w:jc w:val="center"/>
        </w:trPr>
        <w:tc>
          <w:tcPr>
            <w:tcW w:w="4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F8F2F" w14:textId="77777777" w:rsidR="00897678" w:rsidRPr="00514A44" w:rsidRDefault="00897678" w:rsidP="00897678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eastAsia="Times New Roman" w:cs="Arial"/>
                <w:sz w:val="16"/>
                <w:szCs w:val="16"/>
              </w:rPr>
              <w:t>Ostala imovina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A7BB" w14:textId="4ACBB99C" w:rsidR="00897678" w:rsidRPr="00437372" w:rsidRDefault="00897678" w:rsidP="0089767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4.588.693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3B0D7" w14:textId="7F723B3D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3.741.732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E3E95E" w14:textId="240587D5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5.740.000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97C9D01" w14:textId="30CD5D3D" w:rsidR="00897678" w:rsidRPr="00437372" w:rsidRDefault="00897678" w:rsidP="003451CC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4.690.142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011BE" w14:textId="06D35D1F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14.193.000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592D2" w14:textId="4BCD3C3B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10.676.000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E523D" w14:textId="799D21DB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6.334.000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5A55C0BB" w14:textId="61C240EB" w:rsidR="00897678" w:rsidRPr="00437372" w:rsidRDefault="00897678" w:rsidP="003451CC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10.401.000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FA638" w14:textId="08FAB49D" w:rsidR="00897678" w:rsidRPr="00437372" w:rsidRDefault="00897678" w:rsidP="003451CC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222</w:t>
            </w:r>
          </w:p>
        </w:tc>
      </w:tr>
      <w:tr w:rsidR="00897678" w:rsidRPr="00514A44" w14:paraId="19698767" w14:textId="77777777" w:rsidTr="00B86896">
        <w:trPr>
          <w:gridAfter w:val="2"/>
          <w:wAfter w:w="132" w:type="dxa"/>
          <w:trHeight w:hRule="exact" w:val="194"/>
          <w:jc w:val="center"/>
        </w:trPr>
        <w:tc>
          <w:tcPr>
            <w:tcW w:w="4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362FBFEF" w14:textId="77777777" w:rsidR="00897678" w:rsidRPr="00514A44" w:rsidRDefault="00897678" w:rsidP="00897678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sz w:val="16"/>
                <w:szCs w:val="16"/>
              </w:rPr>
              <w:t>Ukupna imovina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60E2FBE7" w14:textId="00074AEC" w:rsidR="00897678" w:rsidRPr="00437372" w:rsidRDefault="00897678" w:rsidP="0089767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437372">
              <w:rPr>
                <w:rFonts w:cs="Arial"/>
                <w:b/>
                <w:bCs/>
                <w:color w:val="000000"/>
                <w:sz w:val="16"/>
                <w:szCs w:val="16"/>
              </w:rPr>
              <w:t>3.758.059.611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7EE6C314" w14:textId="454AF429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b/>
                <w:bCs/>
                <w:color w:val="000000"/>
                <w:sz w:val="16"/>
                <w:szCs w:val="16"/>
              </w:rPr>
              <w:t>3.853.249.384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75D6C143" w14:textId="0EA981FD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b/>
                <w:bCs/>
                <w:color w:val="000000"/>
                <w:sz w:val="16"/>
                <w:szCs w:val="16"/>
              </w:rPr>
              <w:t>4.126.128.000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AC10FDD" w14:textId="648D8BBE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437372">
              <w:rPr>
                <w:rFonts w:cs="Arial"/>
                <w:b/>
                <w:bCs/>
                <w:color w:val="000000"/>
                <w:sz w:val="16"/>
                <w:szCs w:val="16"/>
              </w:rPr>
              <w:t>3.912.478.998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6B8A7A1C" w14:textId="43461B26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b/>
                <w:bCs/>
                <w:color w:val="000000"/>
                <w:sz w:val="16"/>
                <w:szCs w:val="16"/>
              </w:rPr>
              <w:t>4.137.442.000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3A7B626F" w14:textId="67875FC1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b/>
                <w:bCs/>
                <w:color w:val="000000"/>
                <w:sz w:val="16"/>
                <w:szCs w:val="16"/>
              </w:rPr>
              <w:t>4.263.500.000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2A7C0348" w14:textId="4A0DF309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b/>
                <w:bCs/>
                <w:color w:val="000000"/>
                <w:sz w:val="16"/>
                <w:szCs w:val="16"/>
              </w:rPr>
              <w:t>4.332.846.000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296BB84" w14:textId="4726ACDD" w:rsidR="00897678" w:rsidRPr="00437372" w:rsidRDefault="00897678" w:rsidP="003451CC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b/>
                <w:bCs/>
                <w:color w:val="000000"/>
                <w:sz w:val="16"/>
                <w:szCs w:val="16"/>
              </w:rPr>
              <w:t>4.244.596.000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DCE4"/>
            <w:noWrap/>
            <w:vAlign w:val="bottom"/>
          </w:tcPr>
          <w:p w14:paraId="1BA4B968" w14:textId="0C8EBA0F" w:rsidR="00897678" w:rsidRPr="00437372" w:rsidRDefault="00897678" w:rsidP="003451C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437372">
              <w:rPr>
                <w:rFonts w:cs="Arial"/>
                <w:b/>
                <w:bCs/>
                <w:color w:val="000000"/>
                <w:sz w:val="16"/>
                <w:szCs w:val="16"/>
              </w:rPr>
              <w:t>108</w:t>
            </w:r>
          </w:p>
        </w:tc>
      </w:tr>
      <w:tr w:rsidR="00897678" w:rsidRPr="00514A44" w14:paraId="1F79A1E1" w14:textId="77777777" w:rsidTr="00B86896">
        <w:trPr>
          <w:gridAfter w:val="2"/>
          <w:wAfter w:w="132" w:type="dxa"/>
          <w:trHeight w:hRule="exact" w:val="232"/>
          <w:jc w:val="center"/>
        </w:trPr>
        <w:tc>
          <w:tcPr>
            <w:tcW w:w="4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44546A"/>
            <w:vAlign w:val="bottom"/>
            <w:hideMark/>
          </w:tcPr>
          <w:p w14:paraId="007C2BE0" w14:textId="77777777" w:rsidR="00897678" w:rsidRPr="00514A44" w:rsidRDefault="00897678" w:rsidP="00897678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Obveze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</w:tcPr>
          <w:p w14:paraId="36ABDF5B" w14:textId="77777777" w:rsidR="00897678" w:rsidRPr="00437372" w:rsidRDefault="00897678" w:rsidP="0089767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</w:tcPr>
          <w:p w14:paraId="7AA47BA0" w14:textId="77777777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vAlign w:val="bottom"/>
          </w:tcPr>
          <w:p w14:paraId="13279F11" w14:textId="77777777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noWrap/>
            <w:vAlign w:val="bottom"/>
          </w:tcPr>
          <w:p w14:paraId="720DFF0D" w14:textId="2220ED77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</w:tcPr>
          <w:p w14:paraId="1DFE988D" w14:textId="3FDBC3EA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437372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</w:tcPr>
          <w:p w14:paraId="4B2F1265" w14:textId="77777777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</w:tcPr>
          <w:p w14:paraId="67E176DE" w14:textId="77777777" w:rsidR="00897678" w:rsidRPr="00437372" w:rsidRDefault="00897678" w:rsidP="003451CC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noWrap/>
            <w:vAlign w:val="bottom"/>
          </w:tcPr>
          <w:p w14:paraId="4F9A1C1B" w14:textId="6442B63D" w:rsidR="00897678" w:rsidRPr="00437372" w:rsidRDefault="00897678" w:rsidP="003451CC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546A"/>
            <w:noWrap/>
            <w:vAlign w:val="bottom"/>
          </w:tcPr>
          <w:p w14:paraId="66352281" w14:textId="412635C1" w:rsidR="00897678" w:rsidRPr="00437372" w:rsidRDefault="00897678" w:rsidP="003451CC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97678" w:rsidRPr="00514A44" w14:paraId="209C6BF9" w14:textId="77777777" w:rsidTr="00B86896">
        <w:trPr>
          <w:gridAfter w:val="2"/>
          <w:wAfter w:w="132" w:type="dxa"/>
          <w:trHeight w:hRule="exact" w:val="232"/>
          <w:jc w:val="center"/>
        </w:trPr>
        <w:tc>
          <w:tcPr>
            <w:tcW w:w="4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4079D" w14:textId="77777777" w:rsidR="00897678" w:rsidRPr="00514A44" w:rsidRDefault="00897678" w:rsidP="00897678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eastAsia="Times New Roman" w:cs="Arial"/>
                <w:sz w:val="16"/>
                <w:szCs w:val="16"/>
              </w:rPr>
              <w:t>Obveze po depozitima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C178" w14:textId="3A9779DC" w:rsidR="00897678" w:rsidRPr="00437372" w:rsidRDefault="00897678" w:rsidP="0089767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127.779.535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ECB3F" w14:textId="758DF8E8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135.990.893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2801A2" w14:textId="36CDF69F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241.205.000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65D38435" w14:textId="066827ED" w:rsidR="00897678" w:rsidRPr="00437372" w:rsidRDefault="00897678" w:rsidP="003451C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168.325.143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3D5B8" w14:textId="2B313E41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172.994.000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AE656" w14:textId="5169711E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208.227.000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339B3" w14:textId="15E53F09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210.721.000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0D9544E" w14:textId="76CF6115" w:rsidR="00897678" w:rsidRPr="00437372" w:rsidRDefault="00897678" w:rsidP="003451CC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197.314.000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40ABA" w14:textId="153256FF" w:rsidR="00897678" w:rsidRPr="00437372" w:rsidRDefault="00897678" w:rsidP="003451CC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117</w:t>
            </w:r>
          </w:p>
        </w:tc>
      </w:tr>
      <w:tr w:rsidR="00897678" w:rsidRPr="00514A44" w14:paraId="1B6EB7A5" w14:textId="77777777" w:rsidTr="00B86896">
        <w:trPr>
          <w:gridAfter w:val="2"/>
          <w:wAfter w:w="132" w:type="dxa"/>
          <w:trHeight w:hRule="exact" w:val="232"/>
          <w:jc w:val="center"/>
        </w:trPr>
        <w:tc>
          <w:tcPr>
            <w:tcW w:w="4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6E03D" w14:textId="77777777" w:rsidR="00897678" w:rsidRPr="00514A44" w:rsidRDefault="00897678" w:rsidP="00897678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eastAsia="Times New Roman" w:cs="Arial"/>
                <w:sz w:val="16"/>
                <w:szCs w:val="16"/>
              </w:rPr>
              <w:t>Obveze po kreditima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4127" w14:textId="65C7251C" w:rsidR="00897678" w:rsidRPr="00437372" w:rsidRDefault="00897678" w:rsidP="0089767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2.143.789.275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4976" w14:textId="064F2FAE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2.190.095.703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C1AF8" w14:textId="3643524E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2.312.165.000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BE37389" w14:textId="14942BE0" w:rsidR="00897678" w:rsidRPr="00437372" w:rsidRDefault="00897678" w:rsidP="003451CC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2.215.349.993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427A2" w14:textId="7B6DC540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2.346.380.000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15C07" w14:textId="3A8065EC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2.386.697.000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43AC7" w14:textId="36065A09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2.405.914.000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2BFD403" w14:textId="4AA20735" w:rsidR="00897678" w:rsidRPr="00437372" w:rsidRDefault="00897678" w:rsidP="003451CC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2.379.663.667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54A42" w14:textId="7A87185A" w:rsidR="00897678" w:rsidRPr="00437372" w:rsidRDefault="00897678" w:rsidP="003451CC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107</w:t>
            </w:r>
          </w:p>
        </w:tc>
      </w:tr>
      <w:tr w:rsidR="00897678" w:rsidRPr="00514A44" w14:paraId="5B3DB92C" w14:textId="77777777" w:rsidTr="00B86896">
        <w:trPr>
          <w:gridAfter w:val="2"/>
          <w:wAfter w:w="132" w:type="dxa"/>
          <w:trHeight w:hRule="exact" w:val="232"/>
          <w:jc w:val="center"/>
        </w:trPr>
        <w:tc>
          <w:tcPr>
            <w:tcW w:w="4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8850A" w14:textId="77777777" w:rsidR="00897678" w:rsidRPr="00514A44" w:rsidRDefault="00897678" w:rsidP="00897678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eastAsia="Times New Roman" w:cs="Arial"/>
                <w:sz w:val="16"/>
                <w:szCs w:val="16"/>
              </w:rPr>
              <w:t>Ostale obveze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89A6" w14:textId="56625F7F" w:rsidR="00897678" w:rsidRPr="00437372" w:rsidRDefault="00897678" w:rsidP="0089767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80.679.388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1AE46" w14:textId="594E90DA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105.621.838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B78EC5" w14:textId="4F53F4E7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119.447.000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6BECDF26" w14:textId="5A0EF165" w:rsidR="00897678" w:rsidRPr="00437372" w:rsidRDefault="00897678" w:rsidP="003451CC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101.916.075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9AEDC" w14:textId="28141B50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130.892.000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62A14" w14:textId="15D15631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144.905.000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91A5B" w14:textId="42719F40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156.863.000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234EDC5" w14:textId="755F8A7B" w:rsidR="00897678" w:rsidRPr="00437372" w:rsidRDefault="00897678" w:rsidP="003451CC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144.220.000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2A12A" w14:textId="46FE4459" w:rsidR="00897678" w:rsidRPr="00437372" w:rsidRDefault="00897678" w:rsidP="003451CC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142</w:t>
            </w:r>
          </w:p>
        </w:tc>
      </w:tr>
      <w:tr w:rsidR="00897678" w:rsidRPr="00514A44" w14:paraId="7571BAB0" w14:textId="77777777" w:rsidTr="00B86896">
        <w:trPr>
          <w:gridAfter w:val="2"/>
          <w:wAfter w:w="132" w:type="dxa"/>
          <w:trHeight w:hRule="exact" w:val="232"/>
          <w:jc w:val="center"/>
        </w:trPr>
        <w:tc>
          <w:tcPr>
            <w:tcW w:w="4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69F5C2FF" w14:textId="77777777" w:rsidR="00897678" w:rsidRPr="00514A44" w:rsidRDefault="00897678" w:rsidP="00897678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sz w:val="16"/>
                <w:szCs w:val="16"/>
              </w:rPr>
              <w:t>Ukupne obveze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noWrap/>
            <w:vAlign w:val="bottom"/>
            <w:hideMark/>
          </w:tcPr>
          <w:p w14:paraId="14468DB3" w14:textId="0877FADF" w:rsidR="00897678" w:rsidRPr="00437372" w:rsidRDefault="00897678" w:rsidP="00897678">
            <w:pPr>
              <w:spacing w:after="0" w:line="240" w:lineRule="auto"/>
              <w:jc w:val="right"/>
              <w:rPr>
                <w:rFonts w:eastAsia="Times New Roman" w:cs="Arial"/>
                <w:b/>
                <w:sz w:val="16"/>
                <w:szCs w:val="16"/>
              </w:rPr>
            </w:pPr>
            <w:r w:rsidRPr="00437372">
              <w:rPr>
                <w:rFonts w:cs="Arial"/>
                <w:b/>
                <w:bCs/>
                <w:color w:val="000000"/>
                <w:sz w:val="16"/>
                <w:szCs w:val="16"/>
              </w:rPr>
              <w:t>2.352.248.198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noWrap/>
            <w:vAlign w:val="bottom"/>
          </w:tcPr>
          <w:p w14:paraId="71B6D66E" w14:textId="0712CEBB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437372">
              <w:rPr>
                <w:rFonts w:cs="Arial"/>
                <w:b/>
                <w:bCs/>
                <w:color w:val="000000"/>
                <w:sz w:val="16"/>
                <w:szCs w:val="16"/>
              </w:rPr>
              <w:t>2.431.708.434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0E4D21F7" w14:textId="272EB5B2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437372">
              <w:rPr>
                <w:rFonts w:cs="Arial"/>
                <w:b/>
                <w:bCs/>
                <w:color w:val="000000"/>
                <w:sz w:val="16"/>
                <w:szCs w:val="16"/>
              </w:rPr>
              <w:t>2.672.817.000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01CB8B4" w14:textId="1F3D0217" w:rsidR="00897678" w:rsidRPr="00437372" w:rsidRDefault="00897678" w:rsidP="006F032D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b/>
                <w:bCs/>
                <w:color w:val="000000"/>
                <w:sz w:val="16"/>
                <w:szCs w:val="16"/>
              </w:rPr>
              <w:t>2.485.591.211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28E69F2B" w14:textId="69274F2A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437372">
              <w:rPr>
                <w:rFonts w:cs="Arial"/>
                <w:b/>
                <w:bCs/>
                <w:color w:val="000000"/>
                <w:sz w:val="16"/>
                <w:szCs w:val="16"/>
              </w:rPr>
              <w:t>2.650.266.000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3274FCEE" w14:textId="50E68669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437372">
              <w:rPr>
                <w:rFonts w:cs="Arial"/>
                <w:b/>
                <w:bCs/>
                <w:color w:val="000000"/>
                <w:sz w:val="16"/>
                <w:szCs w:val="16"/>
              </w:rPr>
              <w:t>2.739.829.000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4D17F4CD" w14:textId="60E26043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437372">
              <w:rPr>
                <w:rFonts w:cs="Arial"/>
                <w:b/>
                <w:bCs/>
                <w:color w:val="000000"/>
                <w:sz w:val="16"/>
                <w:szCs w:val="16"/>
              </w:rPr>
              <w:t>2.773.498.000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B173B1C" w14:textId="2E85E018" w:rsidR="00897678" w:rsidRPr="00437372" w:rsidRDefault="00897678" w:rsidP="006F032D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b/>
                <w:bCs/>
                <w:color w:val="000000"/>
                <w:sz w:val="16"/>
                <w:szCs w:val="16"/>
              </w:rPr>
              <w:t>2.721.197.667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DCE4"/>
            <w:noWrap/>
            <w:vAlign w:val="bottom"/>
          </w:tcPr>
          <w:p w14:paraId="35436475" w14:textId="5DB872CD" w:rsidR="00897678" w:rsidRPr="00437372" w:rsidRDefault="00897678" w:rsidP="003451C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437372">
              <w:rPr>
                <w:rFonts w:cs="Arial"/>
                <w:b/>
                <w:bCs/>
                <w:color w:val="000000"/>
                <w:sz w:val="16"/>
                <w:szCs w:val="16"/>
              </w:rPr>
              <w:t>109</w:t>
            </w:r>
          </w:p>
        </w:tc>
      </w:tr>
      <w:tr w:rsidR="00897678" w:rsidRPr="00514A44" w14:paraId="31702279" w14:textId="77777777" w:rsidTr="00B86896">
        <w:trPr>
          <w:gridAfter w:val="2"/>
          <w:wAfter w:w="132" w:type="dxa"/>
          <w:trHeight w:hRule="exact" w:val="232"/>
          <w:jc w:val="center"/>
        </w:trPr>
        <w:tc>
          <w:tcPr>
            <w:tcW w:w="4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44546A"/>
            <w:vAlign w:val="bottom"/>
            <w:hideMark/>
          </w:tcPr>
          <w:p w14:paraId="2713D824" w14:textId="77777777" w:rsidR="00897678" w:rsidRPr="00514A44" w:rsidRDefault="00897678" w:rsidP="00897678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Kapital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  <w:hideMark/>
          </w:tcPr>
          <w:p w14:paraId="3F57ADA0" w14:textId="0B59C762" w:rsidR="00897678" w:rsidRPr="00437372" w:rsidRDefault="00897678" w:rsidP="0089767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</w:tcPr>
          <w:p w14:paraId="21ACB715" w14:textId="77777777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vAlign w:val="bottom"/>
          </w:tcPr>
          <w:p w14:paraId="79F85FF1" w14:textId="77777777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noWrap/>
            <w:vAlign w:val="bottom"/>
          </w:tcPr>
          <w:p w14:paraId="48858D0C" w14:textId="13649B50" w:rsidR="00897678" w:rsidRPr="00437372" w:rsidRDefault="00897678" w:rsidP="006F032D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</w:tcPr>
          <w:p w14:paraId="4680DFCC" w14:textId="11500E93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</w:tcPr>
          <w:p w14:paraId="5916782A" w14:textId="77777777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</w:tcPr>
          <w:p w14:paraId="4E0CC20B" w14:textId="77777777" w:rsidR="00897678" w:rsidRPr="00437372" w:rsidRDefault="00897678" w:rsidP="003451CC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</w:tcPr>
          <w:p w14:paraId="5A7CF138" w14:textId="15A70948" w:rsidR="00897678" w:rsidRPr="00437372" w:rsidRDefault="00897678" w:rsidP="003451CC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546A"/>
            <w:noWrap/>
            <w:vAlign w:val="bottom"/>
          </w:tcPr>
          <w:p w14:paraId="063EC74A" w14:textId="71E90693" w:rsidR="00897678" w:rsidRPr="00437372" w:rsidRDefault="00897678" w:rsidP="003451C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97678" w:rsidRPr="00514A44" w14:paraId="725C542B" w14:textId="77777777" w:rsidTr="00B86896">
        <w:trPr>
          <w:gridAfter w:val="2"/>
          <w:wAfter w:w="132" w:type="dxa"/>
          <w:trHeight w:hRule="exact" w:val="232"/>
          <w:jc w:val="center"/>
        </w:trPr>
        <w:tc>
          <w:tcPr>
            <w:tcW w:w="4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74576" w14:textId="77777777" w:rsidR="00897678" w:rsidRPr="00514A44" w:rsidRDefault="00897678" w:rsidP="00897678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eastAsia="Times New Roman" w:cs="Arial"/>
                <w:sz w:val="16"/>
                <w:szCs w:val="16"/>
              </w:rPr>
              <w:t>Osnivački kapital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A0FA" w14:textId="136FF935" w:rsidR="00897678" w:rsidRPr="00437372" w:rsidRDefault="00897678" w:rsidP="0089767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955.762.365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C59E2" w14:textId="5A7E7296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956.218.948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E0FC62" w14:textId="2CC6FE4F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958.286.000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503F07CE" w14:textId="2E2E3E23" w:rsidR="00897678" w:rsidRPr="00437372" w:rsidRDefault="00897678" w:rsidP="00FC2F4F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956.755.771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B3943" w14:textId="4773899B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961.286.000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0877F" w14:textId="6C9A3426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966.286.000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AE9E7" w14:textId="20981E07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971.286.000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DBC29CB" w14:textId="43C840F8" w:rsidR="00897678" w:rsidRPr="00437372" w:rsidRDefault="00897678" w:rsidP="003451CC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966.286.000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C39A5" w14:textId="3631518D" w:rsidR="00897678" w:rsidRPr="00437372" w:rsidRDefault="00897678" w:rsidP="003451CC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101</w:t>
            </w:r>
          </w:p>
        </w:tc>
      </w:tr>
      <w:tr w:rsidR="00897678" w:rsidRPr="00514A44" w14:paraId="14183135" w14:textId="77777777" w:rsidTr="00B86896">
        <w:trPr>
          <w:gridAfter w:val="2"/>
          <w:wAfter w:w="132" w:type="dxa"/>
          <w:trHeight w:hRule="exact" w:val="232"/>
          <w:jc w:val="center"/>
        </w:trPr>
        <w:tc>
          <w:tcPr>
            <w:tcW w:w="4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5DEAB" w14:textId="77777777" w:rsidR="00897678" w:rsidRPr="00514A44" w:rsidRDefault="00897678" w:rsidP="00897678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eastAsia="Times New Roman" w:cs="Arial"/>
                <w:sz w:val="16"/>
                <w:szCs w:val="16"/>
              </w:rPr>
              <w:t>Zadržana dobit i rezerve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396F" w14:textId="3566FC20" w:rsidR="00897678" w:rsidRPr="00437372" w:rsidRDefault="00897678" w:rsidP="0089767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419.561.829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44611" w14:textId="6601018D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443.404.036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0E600" w14:textId="1940C0AC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468.113.000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5845029" w14:textId="104DDD51" w:rsidR="00897678" w:rsidRPr="00437372" w:rsidRDefault="00897678" w:rsidP="00FC2F4F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443.692.955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41DA6" w14:textId="5194D7F3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497.119.000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21A3C" w14:textId="24D7DCE2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527.984.000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53ABA" w14:textId="57A2F896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559.479.000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070ACB7D" w14:textId="5ED83A83" w:rsidR="00897678" w:rsidRPr="00437372" w:rsidRDefault="00897678" w:rsidP="003451CC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528.194.000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D2CB0" w14:textId="2C9A9A68" w:rsidR="00897678" w:rsidRPr="00437372" w:rsidRDefault="00897678" w:rsidP="003451CC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119</w:t>
            </w:r>
          </w:p>
        </w:tc>
      </w:tr>
      <w:tr w:rsidR="00897678" w:rsidRPr="00514A44" w14:paraId="16692A72" w14:textId="77777777" w:rsidTr="00B86896">
        <w:trPr>
          <w:gridAfter w:val="2"/>
          <w:wAfter w:w="132" w:type="dxa"/>
          <w:trHeight w:hRule="exact" w:val="232"/>
          <w:jc w:val="center"/>
        </w:trPr>
        <w:tc>
          <w:tcPr>
            <w:tcW w:w="4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48CDA" w14:textId="77777777" w:rsidR="00897678" w:rsidRPr="00514A44" w:rsidRDefault="00897678" w:rsidP="00897678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eastAsia="Times New Roman" w:cs="Arial"/>
                <w:sz w:val="16"/>
                <w:szCs w:val="16"/>
              </w:rPr>
              <w:t>Ostale rezerve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C75CA" w14:textId="083B3BED" w:rsidR="00897678" w:rsidRPr="00437372" w:rsidRDefault="00897678" w:rsidP="0089767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3.985.673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7FA41F" w14:textId="399907BA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(4.428.870</w:t>
            </w:r>
            <w:r w:rsidR="003451CC" w:rsidRPr="00437372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C7F5A7" w14:textId="00CF348D" w:rsidR="00897678" w:rsidRPr="00437372" w:rsidRDefault="003451CC" w:rsidP="003451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(</w:t>
            </w:r>
            <w:r w:rsidR="00897678" w:rsidRPr="00437372">
              <w:rPr>
                <w:rFonts w:cs="Arial"/>
                <w:color w:val="000000"/>
                <w:sz w:val="16"/>
                <w:szCs w:val="16"/>
              </w:rPr>
              <w:t>3.731.000</w:t>
            </w:r>
            <w:r w:rsidRPr="00437372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1327F0F3" w14:textId="12738C0D" w:rsidR="00897678" w:rsidRPr="00437372" w:rsidRDefault="003451CC" w:rsidP="00FC2F4F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(</w:t>
            </w:r>
            <w:r w:rsidR="00897678" w:rsidRPr="00437372">
              <w:rPr>
                <w:rFonts w:cs="Arial"/>
                <w:color w:val="000000"/>
                <w:sz w:val="16"/>
                <w:szCs w:val="16"/>
              </w:rPr>
              <w:t>1.391.399</w:t>
            </w:r>
            <w:r w:rsidRPr="00437372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34642" w14:textId="0819B574" w:rsidR="00897678" w:rsidRPr="00437372" w:rsidRDefault="003451CC" w:rsidP="003451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(</w:t>
            </w:r>
            <w:r w:rsidR="00897678" w:rsidRPr="00437372">
              <w:rPr>
                <w:rFonts w:cs="Arial"/>
                <w:color w:val="000000"/>
                <w:sz w:val="16"/>
                <w:szCs w:val="16"/>
              </w:rPr>
              <w:t>3.731.000</w:t>
            </w:r>
            <w:r w:rsidRPr="00437372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BB43B7" w14:textId="5A6F33BB" w:rsidR="00897678" w:rsidRPr="00437372" w:rsidRDefault="003451CC" w:rsidP="003451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(</w:t>
            </w:r>
            <w:r w:rsidR="00897678" w:rsidRPr="00437372">
              <w:rPr>
                <w:rFonts w:cs="Arial"/>
                <w:color w:val="000000"/>
                <w:sz w:val="16"/>
                <w:szCs w:val="16"/>
              </w:rPr>
              <w:t>3.731.000</w:t>
            </w:r>
            <w:r w:rsidRPr="00437372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21B97E" w14:textId="6593016C" w:rsidR="00897678" w:rsidRPr="00437372" w:rsidRDefault="003451CC" w:rsidP="003451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(</w:t>
            </w:r>
            <w:r w:rsidR="00897678" w:rsidRPr="00437372">
              <w:rPr>
                <w:rFonts w:cs="Arial"/>
                <w:color w:val="000000"/>
                <w:sz w:val="16"/>
                <w:szCs w:val="16"/>
              </w:rPr>
              <w:t>3.731.000</w:t>
            </w:r>
            <w:r w:rsidRPr="00437372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3AD5F3D6" w14:textId="04307419" w:rsidR="00897678" w:rsidRPr="00437372" w:rsidRDefault="003451CC" w:rsidP="003451CC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(</w:t>
            </w:r>
            <w:r w:rsidR="00897678" w:rsidRPr="00437372">
              <w:rPr>
                <w:rFonts w:cs="Arial"/>
                <w:color w:val="000000"/>
                <w:sz w:val="16"/>
                <w:szCs w:val="16"/>
              </w:rPr>
              <w:t>3.731.000</w:t>
            </w:r>
            <w:r w:rsidRPr="00437372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CF82326" w14:textId="6A9CCB0C" w:rsidR="00897678" w:rsidRPr="00437372" w:rsidRDefault="00897678" w:rsidP="003451CC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268</w:t>
            </w:r>
          </w:p>
        </w:tc>
      </w:tr>
      <w:tr w:rsidR="00897678" w:rsidRPr="00514A44" w14:paraId="33D0BAAB" w14:textId="77777777" w:rsidTr="00B86896">
        <w:trPr>
          <w:gridAfter w:val="2"/>
          <w:wAfter w:w="132" w:type="dxa"/>
          <w:trHeight w:hRule="exact" w:val="232"/>
          <w:jc w:val="center"/>
        </w:trPr>
        <w:tc>
          <w:tcPr>
            <w:tcW w:w="4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E0F62" w14:textId="77777777" w:rsidR="00897678" w:rsidRPr="00514A44" w:rsidRDefault="00897678" w:rsidP="00897678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eastAsia="Times New Roman" w:cs="Arial"/>
                <w:sz w:val="16"/>
                <w:szCs w:val="16"/>
              </w:rPr>
              <w:t>Dobit tekućeg razdoblja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16BD" w14:textId="57DBBE5A" w:rsidR="00897678" w:rsidRPr="00437372" w:rsidRDefault="00897678" w:rsidP="0089767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24.864.095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23F55" w14:textId="0A7AAAE1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24.709.437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445E4C" w14:textId="014EAA02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29.006.000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1E248DA" w14:textId="4A5E55BB" w:rsidR="00897678" w:rsidRPr="00437372" w:rsidRDefault="00897678" w:rsidP="00FC2F4F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26.193.177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1A95B" w14:textId="7EF1F1F5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30.865.000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ACE44" w14:textId="7908E1CA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31.495.000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7E81B" w14:textId="589CC3EE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30.677.000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39C0591B" w14:textId="7B148DE0" w:rsidR="00897678" w:rsidRPr="00437372" w:rsidRDefault="00897678" w:rsidP="003451CC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31.012.333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7400B" w14:textId="64EF5708" w:rsidR="00897678" w:rsidRPr="00437372" w:rsidRDefault="00897678" w:rsidP="003451CC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118</w:t>
            </w:r>
          </w:p>
        </w:tc>
      </w:tr>
      <w:tr w:rsidR="00897678" w:rsidRPr="00514A44" w14:paraId="6A86B82B" w14:textId="77777777" w:rsidTr="00B86896">
        <w:trPr>
          <w:gridAfter w:val="2"/>
          <w:wAfter w:w="132" w:type="dxa"/>
          <w:trHeight w:hRule="exact" w:val="270"/>
          <w:jc w:val="center"/>
        </w:trPr>
        <w:tc>
          <w:tcPr>
            <w:tcW w:w="4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995EF56" w14:textId="77777777" w:rsidR="00897678" w:rsidRPr="00514A44" w:rsidRDefault="00897678" w:rsidP="00897678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eastAsia="Times New Roman" w:cs="Arial"/>
                <w:sz w:val="16"/>
                <w:szCs w:val="16"/>
              </w:rPr>
              <w:t>Garantni fond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B9F71" w14:textId="5721EFF9" w:rsidR="00897678" w:rsidRPr="00437372" w:rsidRDefault="00897678" w:rsidP="0089767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1.637.451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08CCA" w14:textId="66877EA0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1.637.399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5F9F3" w14:textId="7ED58AA4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1.637.000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5862AD94" w14:textId="3E5C8956" w:rsidR="00897678" w:rsidRPr="00437372" w:rsidRDefault="00897678" w:rsidP="00FC2F4F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1.637.283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9D97C" w14:textId="411C75A4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1.637.000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95843" w14:textId="739F04E7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1.637.000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C09F6" w14:textId="32B7AE04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1.637.000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0766F385" w14:textId="2B283189" w:rsidR="00897678" w:rsidRPr="00437372" w:rsidRDefault="00897678" w:rsidP="003451CC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1.637.000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8DDEE" w14:textId="060763A3" w:rsidR="00897678" w:rsidRPr="00437372" w:rsidRDefault="00897678" w:rsidP="003451CC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437372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</w:tr>
      <w:tr w:rsidR="00897678" w:rsidRPr="00514A44" w14:paraId="7277E6F1" w14:textId="77777777" w:rsidTr="00B86896">
        <w:trPr>
          <w:gridAfter w:val="2"/>
          <w:wAfter w:w="132" w:type="dxa"/>
          <w:trHeight w:hRule="exact" w:val="232"/>
          <w:jc w:val="center"/>
        </w:trPr>
        <w:tc>
          <w:tcPr>
            <w:tcW w:w="4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4D54391D" w14:textId="77777777" w:rsidR="00897678" w:rsidRPr="00514A44" w:rsidRDefault="00897678" w:rsidP="00897678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Ukupni kapital i rezerve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noWrap/>
            <w:vAlign w:val="bottom"/>
            <w:hideMark/>
          </w:tcPr>
          <w:p w14:paraId="331FF22A" w14:textId="378B13F0" w:rsidR="00897678" w:rsidRPr="00437372" w:rsidRDefault="00897678" w:rsidP="0089767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437372">
              <w:rPr>
                <w:rFonts w:cs="Arial"/>
                <w:b/>
                <w:bCs/>
                <w:color w:val="000000"/>
                <w:sz w:val="16"/>
                <w:szCs w:val="16"/>
              </w:rPr>
              <w:t>1.405.811.413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noWrap/>
            <w:vAlign w:val="bottom"/>
          </w:tcPr>
          <w:p w14:paraId="6B9A0CEC" w14:textId="054AE9DE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437372">
              <w:rPr>
                <w:rFonts w:cs="Arial"/>
                <w:b/>
                <w:bCs/>
                <w:color w:val="000000"/>
                <w:sz w:val="16"/>
                <w:szCs w:val="16"/>
              </w:rPr>
              <w:t>1.421.540.950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0FEEA782" w14:textId="1A6D862C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437372">
              <w:rPr>
                <w:rFonts w:cs="Arial"/>
                <w:b/>
                <w:bCs/>
                <w:color w:val="000000"/>
                <w:sz w:val="16"/>
                <w:szCs w:val="16"/>
              </w:rPr>
              <w:t>1.453.311.000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519CDDBF" w14:textId="515056AB" w:rsidR="00897678" w:rsidRPr="00437372" w:rsidRDefault="00897678" w:rsidP="00FC2F4F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b/>
                <w:bCs/>
                <w:color w:val="000000"/>
                <w:sz w:val="16"/>
                <w:szCs w:val="16"/>
              </w:rPr>
              <w:t>1.426.887.78</w:t>
            </w:r>
            <w:r w:rsidR="00DD3551" w:rsidRPr="00437372">
              <w:rPr>
                <w:rFonts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09F3D915" w14:textId="45EC0E68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437372">
              <w:rPr>
                <w:rFonts w:cs="Arial"/>
                <w:b/>
                <w:bCs/>
                <w:color w:val="000000"/>
                <w:sz w:val="16"/>
                <w:szCs w:val="16"/>
              </w:rPr>
              <w:t>1.487.176.000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6ADBB54C" w14:textId="4C57EE28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437372">
              <w:rPr>
                <w:rFonts w:cs="Arial"/>
                <w:b/>
                <w:bCs/>
                <w:color w:val="000000"/>
                <w:sz w:val="16"/>
                <w:szCs w:val="16"/>
              </w:rPr>
              <w:t>1.523.671.000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09C70712" w14:textId="2B6A1CAF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437372">
              <w:rPr>
                <w:rFonts w:cs="Arial"/>
                <w:b/>
                <w:bCs/>
                <w:color w:val="000000"/>
                <w:sz w:val="16"/>
                <w:szCs w:val="16"/>
              </w:rPr>
              <w:t>1.559.348.000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3366E4BA" w14:textId="14B82738" w:rsidR="00897678" w:rsidRPr="00437372" w:rsidRDefault="00897678" w:rsidP="006F032D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b/>
                <w:bCs/>
                <w:color w:val="000000"/>
                <w:sz w:val="16"/>
                <w:szCs w:val="16"/>
              </w:rPr>
              <w:t>1.523.398.333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CE4"/>
            <w:noWrap/>
            <w:vAlign w:val="bottom"/>
          </w:tcPr>
          <w:p w14:paraId="0D618D56" w14:textId="67676F86" w:rsidR="00897678" w:rsidRPr="00437372" w:rsidRDefault="00897678" w:rsidP="003451C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437372">
              <w:rPr>
                <w:rFonts w:cs="Arial"/>
                <w:b/>
                <w:bCs/>
                <w:color w:val="000000"/>
                <w:sz w:val="16"/>
                <w:szCs w:val="16"/>
              </w:rPr>
              <w:t>107</w:t>
            </w:r>
          </w:p>
        </w:tc>
      </w:tr>
      <w:tr w:rsidR="00897678" w:rsidRPr="00514A44" w14:paraId="32FF5F68" w14:textId="77777777" w:rsidTr="00B86896">
        <w:trPr>
          <w:gridAfter w:val="2"/>
          <w:wAfter w:w="132" w:type="dxa"/>
          <w:trHeight w:hRule="exact" w:val="232"/>
          <w:jc w:val="center"/>
        </w:trPr>
        <w:tc>
          <w:tcPr>
            <w:tcW w:w="437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E3AF6C" w14:textId="77777777" w:rsidR="00897678" w:rsidRPr="00514A44" w:rsidRDefault="00897678" w:rsidP="00897678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B673" w14:textId="77777777" w:rsidR="00897678" w:rsidRPr="00437372" w:rsidRDefault="00897678" w:rsidP="0089767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DD291F" w14:textId="77777777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27F982D" w14:textId="77777777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right w:val="nil"/>
            </w:tcBorders>
            <w:shd w:val="clear" w:color="000000" w:fill="DBE5F1"/>
            <w:noWrap/>
            <w:vAlign w:val="bottom"/>
          </w:tcPr>
          <w:p w14:paraId="53FDD162" w14:textId="184F5E34" w:rsidR="00897678" w:rsidRPr="00437372" w:rsidRDefault="00897678" w:rsidP="0006021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56910A" w14:textId="77777777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0710D0" w14:textId="77777777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1CCFC8" w14:textId="77777777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right w:val="nil"/>
            </w:tcBorders>
            <w:shd w:val="clear" w:color="000000" w:fill="DBE5F1"/>
            <w:noWrap/>
            <w:vAlign w:val="bottom"/>
          </w:tcPr>
          <w:p w14:paraId="595C0BCA" w14:textId="37DDB8E6" w:rsidR="00897678" w:rsidRPr="00437372" w:rsidRDefault="00897678" w:rsidP="003451CC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D1FF2" w14:textId="500B1862" w:rsidR="00897678" w:rsidRPr="00437372" w:rsidRDefault="00897678" w:rsidP="003451CC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97678" w:rsidRPr="00A73253" w14:paraId="0123DA8A" w14:textId="77777777" w:rsidTr="00B86896">
        <w:trPr>
          <w:gridAfter w:val="2"/>
          <w:wAfter w:w="132" w:type="dxa"/>
          <w:trHeight w:hRule="exact" w:val="236"/>
          <w:jc w:val="center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bottom"/>
            <w:hideMark/>
          </w:tcPr>
          <w:p w14:paraId="09FBE01E" w14:textId="77777777" w:rsidR="00897678" w:rsidRPr="00514A44" w:rsidRDefault="00897678" w:rsidP="00897678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Ukupne obveze i glavnica i rezerve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1ED18F61" w14:textId="2D8D9E4F" w:rsidR="00897678" w:rsidRPr="00437372" w:rsidRDefault="00897678" w:rsidP="0089767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437372">
              <w:rPr>
                <w:rFonts w:cs="Arial"/>
                <w:b/>
                <w:bCs/>
                <w:color w:val="000000"/>
                <w:sz w:val="16"/>
                <w:szCs w:val="16"/>
              </w:rPr>
              <w:t>3.758.059.611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</w:tcPr>
          <w:p w14:paraId="687643B8" w14:textId="66B390B0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437372">
              <w:rPr>
                <w:rFonts w:cs="Arial"/>
                <w:b/>
                <w:bCs/>
                <w:color w:val="000000"/>
                <w:sz w:val="16"/>
                <w:szCs w:val="16"/>
              </w:rPr>
              <w:t>3.853.249.384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vAlign w:val="bottom"/>
          </w:tcPr>
          <w:p w14:paraId="1C10CEA0" w14:textId="237BD8B0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437372">
              <w:rPr>
                <w:rFonts w:cs="Arial"/>
                <w:b/>
                <w:bCs/>
                <w:color w:val="000000"/>
                <w:sz w:val="16"/>
                <w:szCs w:val="16"/>
              </w:rPr>
              <w:t>4.126.128.00</w:t>
            </w:r>
            <w:r w:rsidR="003451CC" w:rsidRPr="00437372">
              <w:rPr>
                <w:rFonts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4BD38F5D" w14:textId="6F66C76A" w:rsidR="00897678" w:rsidRPr="00437372" w:rsidRDefault="00897678" w:rsidP="00FC2F4F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b/>
                <w:bCs/>
                <w:color w:val="000000"/>
                <w:sz w:val="16"/>
                <w:szCs w:val="16"/>
              </w:rPr>
              <w:t>3.912.478.998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</w:tcPr>
          <w:p w14:paraId="0E2FC851" w14:textId="20B12610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437372">
              <w:rPr>
                <w:rFonts w:cs="Arial"/>
                <w:b/>
                <w:bCs/>
                <w:color w:val="000000"/>
                <w:sz w:val="16"/>
                <w:szCs w:val="16"/>
              </w:rPr>
              <w:t>4.137.442.00</w:t>
            </w:r>
            <w:r w:rsidR="003451CC" w:rsidRPr="00437372">
              <w:rPr>
                <w:rFonts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</w:tcPr>
          <w:p w14:paraId="5A24839F" w14:textId="304BCB6F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437372">
              <w:rPr>
                <w:rFonts w:cs="Arial"/>
                <w:b/>
                <w:bCs/>
                <w:color w:val="000000"/>
                <w:sz w:val="16"/>
                <w:szCs w:val="16"/>
              </w:rPr>
              <w:t>4.263.500.000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DCE4"/>
            <w:noWrap/>
            <w:vAlign w:val="bottom"/>
          </w:tcPr>
          <w:p w14:paraId="45DA4D71" w14:textId="530F02D9" w:rsidR="00897678" w:rsidRPr="00437372" w:rsidRDefault="00897678" w:rsidP="003451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437372">
              <w:rPr>
                <w:rFonts w:cs="Arial"/>
                <w:b/>
                <w:bCs/>
                <w:color w:val="000000"/>
                <w:sz w:val="16"/>
                <w:szCs w:val="16"/>
              </w:rPr>
              <w:t>4.332.846.000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62D9CA5B" w14:textId="65111A49" w:rsidR="00897678" w:rsidRPr="00437372" w:rsidRDefault="00897678" w:rsidP="006F032D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b/>
                <w:bCs/>
                <w:color w:val="000000"/>
                <w:sz w:val="16"/>
                <w:szCs w:val="16"/>
              </w:rPr>
              <w:t>4.244.596.00</w:t>
            </w:r>
            <w:r w:rsidR="003451CC" w:rsidRPr="00437372">
              <w:rPr>
                <w:rFonts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CE4"/>
            <w:noWrap/>
            <w:vAlign w:val="bottom"/>
          </w:tcPr>
          <w:p w14:paraId="5834EAE3" w14:textId="6E5D9CA5" w:rsidR="00897678" w:rsidRPr="00437372" w:rsidRDefault="00897678" w:rsidP="003451C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37372">
              <w:rPr>
                <w:rFonts w:cs="Arial"/>
                <w:b/>
                <w:bCs/>
                <w:color w:val="000000"/>
                <w:sz w:val="16"/>
                <w:szCs w:val="16"/>
              </w:rPr>
              <w:t>108</w:t>
            </w:r>
          </w:p>
        </w:tc>
      </w:tr>
    </w:tbl>
    <w:p w14:paraId="74C42C1F" w14:textId="0A6BA1CE" w:rsidR="002A5D55" w:rsidRDefault="002A5D55" w:rsidP="002A5D55">
      <w:pPr>
        <w:pStyle w:val="ListParagraph"/>
        <w:tabs>
          <w:tab w:val="left" w:pos="-720"/>
          <w:tab w:val="left" w:pos="426"/>
        </w:tabs>
        <w:suppressAutoHyphens/>
        <w:spacing w:after="0" w:line="240" w:lineRule="auto"/>
        <w:ind w:left="284" w:hanging="284"/>
        <w:jc w:val="both"/>
        <w:rPr>
          <w:rFonts w:eastAsia="Times New Roman" w:cs="Arial"/>
          <w:sz w:val="16"/>
          <w:szCs w:val="16"/>
        </w:rPr>
      </w:pPr>
      <w:r w:rsidRPr="00207A7E">
        <w:rPr>
          <w:rFonts w:eastAsia="Times New Roman" w:cs="Arial"/>
          <w:sz w:val="16"/>
          <w:szCs w:val="16"/>
        </w:rPr>
        <w:t xml:space="preserve">*Iznosi u </w:t>
      </w:r>
      <w:r>
        <w:rPr>
          <w:rFonts w:eastAsia="Times New Roman" w:cs="Arial"/>
          <w:sz w:val="16"/>
          <w:szCs w:val="16"/>
        </w:rPr>
        <w:t>izvještaju o financijskom položaju</w:t>
      </w:r>
      <w:r w:rsidRPr="00207A7E">
        <w:rPr>
          <w:rFonts w:eastAsia="Times New Roman" w:cs="Arial"/>
          <w:sz w:val="16"/>
          <w:szCs w:val="16"/>
        </w:rPr>
        <w:t xml:space="preserve"> </w:t>
      </w:r>
      <w:r>
        <w:rPr>
          <w:rFonts w:eastAsia="Times New Roman" w:cs="Arial"/>
          <w:sz w:val="16"/>
          <w:szCs w:val="16"/>
        </w:rPr>
        <w:t>preračunati</w:t>
      </w:r>
      <w:r w:rsidRPr="00207A7E">
        <w:rPr>
          <w:rFonts w:eastAsia="Times New Roman" w:cs="Arial"/>
          <w:sz w:val="16"/>
          <w:szCs w:val="16"/>
        </w:rPr>
        <w:t xml:space="preserve"> su iz valute mjerenja </w:t>
      </w:r>
      <w:r w:rsidR="002A3A27">
        <w:rPr>
          <w:rFonts w:eastAsia="Times New Roman" w:cs="Arial"/>
          <w:sz w:val="16"/>
          <w:szCs w:val="16"/>
        </w:rPr>
        <w:t>(</w:t>
      </w:r>
      <w:r w:rsidRPr="00207A7E">
        <w:rPr>
          <w:rFonts w:eastAsia="Times New Roman" w:cs="Arial"/>
          <w:sz w:val="16"/>
          <w:szCs w:val="16"/>
        </w:rPr>
        <w:t>kuna</w:t>
      </w:r>
      <w:r w:rsidR="002A3A27">
        <w:rPr>
          <w:rFonts w:eastAsia="Times New Roman" w:cs="Arial"/>
          <w:sz w:val="16"/>
          <w:szCs w:val="16"/>
        </w:rPr>
        <w:t>)</w:t>
      </w:r>
      <w:r w:rsidRPr="00207A7E">
        <w:rPr>
          <w:rFonts w:eastAsia="Times New Roman" w:cs="Arial"/>
          <w:sz w:val="16"/>
          <w:szCs w:val="16"/>
        </w:rPr>
        <w:t xml:space="preserve"> u euro koristeći </w:t>
      </w:r>
      <w:r>
        <w:rPr>
          <w:rFonts w:eastAsia="Times New Roman" w:cs="Arial"/>
          <w:sz w:val="16"/>
          <w:szCs w:val="16"/>
        </w:rPr>
        <w:t>tečajeve važeći na dane 31. prosinca 2021.</w:t>
      </w:r>
      <w:r w:rsidRPr="00207A7E">
        <w:rPr>
          <w:rFonts w:eastAsia="Times New Roman" w:cs="Arial"/>
          <w:sz w:val="16"/>
          <w:szCs w:val="16"/>
        </w:rPr>
        <w:t xml:space="preserve"> (1 EUR=</w:t>
      </w:r>
      <w:r>
        <w:rPr>
          <w:rFonts w:eastAsia="Times New Roman" w:cs="Arial"/>
          <w:sz w:val="16"/>
          <w:szCs w:val="16"/>
        </w:rPr>
        <w:t>7,517174</w:t>
      </w:r>
      <w:r w:rsidRPr="00207A7E">
        <w:rPr>
          <w:rFonts w:eastAsia="Times New Roman" w:cs="Arial"/>
          <w:sz w:val="16"/>
          <w:szCs w:val="16"/>
        </w:rPr>
        <w:t xml:space="preserve"> HRK) </w:t>
      </w:r>
    </w:p>
    <w:p w14:paraId="24DD9BFF" w14:textId="77777777" w:rsidR="002A5D55" w:rsidRDefault="002A5D55" w:rsidP="002A5D55">
      <w:pPr>
        <w:pStyle w:val="ListParagraph"/>
        <w:tabs>
          <w:tab w:val="left" w:pos="-720"/>
          <w:tab w:val="left" w:pos="426"/>
        </w:tabs>
        <w:suppressAutoHyphens/>
        <w:spacing w:after="0" w:line="240" w:lineRule="auto"/>
        <w:ind w:left="284" w:hanging="284"/>
        <w:jc w:val="both"/>
        <w:rPr>
          <w:rFonts w:eastAsia="Times New Roman" w:cs="Arial"/>
          <w:sz w:val="16"/>
          <w:szCs w:val="16"/>
        </w:rPr>
      </w:pPr>
    </w:p>
    <w:p w14:paraId="64B64D7E" w14:textId="5A063790" w:rsidR="002A5D55" w:rsidRPr="00207A7E" w:rsidRDefault="002A5D55" w:rsidP="002A5D55">
      <w:pPr>
        <w:pStyle w:val="ListParagraph"/>
        <w:tabs>
          <w:tab w:val="left" w:pos="-720"/>
          <w:tab w:val="left" w:pos="426"/>
        </w:tabs>
        <w:suppressAutoHyphens/>
        <w:spacing w:after="0" w:line="240" w:lineRule="auto"/>
        <w:ind w:left="284" w:hanging="284"/>
        <w:jc w:val="both"/>
        <w:rPr>
          <w:rFonts w:eastAsia="Times New Roman" w:cs="Arial"/>
          <w:sz w:val="16"/>
          <w:szCs w:val="16"/>
        </w:rPr>
        <w:sectPr w:rsidR="002A5D55" w:rsidRPr="00207A7E" w:rsidSect="00A21432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  <w:r>
        <w:rPr>
          <w:rFonts w:eastAsia="Times New Roman" w:cs="Arial"/>
          <w:sz w:val="16"/>
          <w:szCs w:val="16"/>
        </w:rPr>
        <w:t xml:space="preserve">** Iznosi </w:t>
      </w:r>
      <w:r w:rsidRPr="00207A7E">
        <w:rPr>
          <w:rFonts w:eastAsia="Times New Roman" w:cs="Arial"/>
          <w:sz w:val="16"/>
          <w:szCs w:val="16"/>
        </w:rPr>
        <w:t xml:space="preserve">u </w:t>
      </w:r>
      <w:r>
        <w:rPr>
          <w:rFonts w:eastAsia="Times New Roman" w:cs="Arial"/>
          <w:sz w:val="16"/>
          <w:szCs w:val="16"/>
        </w:rPr>
        <w:t xml:space="preserve">izvještaju o financijskom položaju preračunati su iz valute mjerenja </w:t>
      </w:r>
      <w:r w:rsidR="002A3A27">
        <w:rPr>
          <w:rFonts w:eastAsia="Times New Roman" w:cs="Arial"/>
          <w:sz w:val="16"/>
          <w:szCs w:val="16"/>
        </w:rPr>
        <w:t>(</w:t>
      </w:r>
      <w:r>
        <w:rPr>
          <w:rFonts w:eastAsia="Times New Roman" w:cs="Arial"/>
          <w:sz w:val="16"/>
          <w:szCs w:val="16"/>
        </w:rPr>
        <w:t>kuna</w:t>
      </w:r>
      <w:r w:rsidR="002A3A27">
        <w:rPr>
          <w:rFonts w:eastAsia="Times New Roman" w:cs="Arial"/>
          <w:sz w:val="16"/>
          <w:szCs w:val="16"/>
        </w:rPr>
        <w:t>)</w:t>
      </w:r>
      <w:r>
        <w:rPr>
          <w:rFonts w:eastAsia="Times New Roman" w:cs="Arial"/>
          <w:sz w:val="16"/>
          <w:szCs w:val="16"/>
        </w:rPr>
        <w:t xml:space="preserve"> u euro koristeći fiksni tečaj konverzije kune u euro (1 EUR=7,53450 HRK</w:t>
      </w:r>
      <w:r w:rsidR="00B94415">
        <w:rPr>
          <w:rFonts w:eastAsia="Times New Roman" w:cs="Arial"/>
          <w:sz w:val="16"/>
          <w:szCs w:val="16"/>
        </w:rPr>
        <w:t>).</w:t>
      </w:r>
    </w:p>
    <w:p w14:paraId="01F4D52F" w14:textId="76B639B8" w:rsidR="00CF3DA9" w:rsidRPr="009C0CC7" w:rsidRDefault="00CF3DA9" w:rsidP="009C0CC7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b/>
          <w:bCs/>
          <w:sz w:val="20"/>
        </w:rPr>
      </w:pPr>
      <w:r w:rsidRPr="005504D6">
        <w:rPr>
          <w:rFonts w:eastAsia="Times New Roman" w:cs="Arial"/>
          <w:b/>
          <w:bCs/>
          <w:sz w:val="20"/>
        </w:rPr>
        <w:lastRenderedPageBreak/>
        <w:t>c)</w:t>
      </w:r>
      <w:r w:rsidR="00530A6E" w:rsidRPr="005504D6">
        <w:rPr>
          <w:rFonts w:eastAsia="Times New Roman" w:cs="Arial"/>
          <w:b/>
          <w:bCs/>
          <w:sz w:val="20"/>
        </w:rPr>
        <w:tab/>
      </w:r>
      <w:r w:rsidRPr="005504D6">
        <w:rPr>
          <w:rFonts w:eastAsia="Times New Roman" w:cs="Arial"/>
          <w:b/>
          <w:bCs/>
          <w:sz w:val="20"/>
        </w:rPr>
        <w:t>Plan Izvještaja o novčanom toku na dan 31.12.:</w:t>
      </w:r>
    </w:p>
    <w:tbl>
      <w:tblPr>
        <w:tblW w:w="5500" w:type="pct"/>
        <w:jc w:val="center"/>
        <w:tblLayout w:type="fixed"/>
        <w:tblLook w:val="04A0" w:firstRow="1" w:lastRow="0" w:firstColumn="1" w:lastColumn="0" w:noHBand="0" w:noVBand="1"/>
      </w:tblPr>
      <w:tblGrid>
        <w:gridCol w:w="812"/>
        <w:gridCol w:w="4503"/>
        <w:gridCol w:w="1208"/>
        <w:gridCol w:w="1219"/>
        <w:gridCol w:w="1208"/>
        <w:gridCol w:w="1208"/>
        <w:gridCol w:w="1208"/>
        <w:gridCol w:w="1208"/>
        <w:gridCol w:w="1208"/>
        <w:gridCol w:w="1622"/>
      </w:tblGrid>
      <w:tr w:rsidR="00995AE4" w:rsidRPr="00514A44" w14:paraId="127A52DE" w14:textId="77777777" w:rsidTr="009C0CC7">
        <w:trPr>
          <w:jc w:val="center"/>
        </w:trPr>
        <w:tc>
          <w:tcPr>
            <w:tcW w:w="14883" w:type="dxa"/>
            <w:gridSpan w:val="10"/>
            <w:tcBorders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A30EC5" w14:textId="77777777" w:rsidR="00D40DEE" w:rsidRPr="00514A44" w:rsidRDefault="00D40DEE" w:rsidP="00D40DE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IZVJEŠTAJ O NOVČANOM TOKU - DIREKTNA METODA</w:t>
            </w:r>
          </w:p>
        </w:tc>
      </w:tr>
      <w:tr w:rsidR="00995AE4" w:rsidRPr="00514A44" w14:paraId="4FE64C3B" w14:textId="77777777" w:rsidTr="009C0CC7">
        <w:trPr>
          <w:trHeight w:val="60"/>
          <w:jc w:val="center"/>
        </w:trPr>
        <w:tc>
          <w:tcPr>
            <w:tcW w:w="14883" w:type="dxa"/>
            <w:gridSpan w:val="10"/>
            <w:tcBorders>
              <w:top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C9DB12" w14:textId="77777777" w:rsidR="00B20C33" w:rsidRPr="00514A44" w:rsidRDefault="00C27A51" w:rsidP="00D40DE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z</w:t>
            </w:r>
            <w:r w:rsidR="00B20C33" w:rsidRPr="00514A44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a  razdoblje  od 1. siječnja  do 31. prosinca </w:t>
            </w:r>
          </w:p>
        </w:tc>
      </w:tr>
      <w:tr w:rsidR="00B94415" w:rsidRPr="00514A44" w14:paraId="2D36E403" w14:textId="77777777" w:rsidTr="009C0CC7">
        <w:trPr>
          <w:jc w:val="center"/>
        </w:trPr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EF76FAF" w14:textId="77777777" w:rsidR="00B94415" w:rsidRPr="00514A44" w:rsidRDefault="00B94415" w:rsidP="00480CDB">
            <w:pPr>
              <w:spacing w:after="0" w:line="240" w:lineRule="auto"/>
              <w:jc w:val="center"/>
              <w:rPr>
                <w:rFonts w:eastAsia="Times New Roman" w:cs="Arial"/>
                <w:sz w:val="17"/>
                <w:szCs w:val="17"/>
              </w:rPr>
            </w:pPr>
          </w:p>
        </w:tc>
        <w:tc>
          <w:tcPr>
            <w:tcW w:w="4441" w:type="dxa"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15844213" w14:textId="77777777" w:rsidR="00B94415" w:rsidRPr="00514A44" w:rsidRDefault="00B94415" w:rsidP="00480CD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DE7A0E8" w14:textId="77777777" w:rsidR="00B94415" w:rsidRPr="00514A44" w:rsidRDefault="00B94415" w:rsidP="00480CD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A149B22" w14:textId="77777777" w:rsidR="00B94415" w:rsidRPr="00514A44" w:rsidRDefault="00B94415" w:rsidP="00480CD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3901954" w14:textId="77777777" w:rsidR="00B94415" w:rsidRPr="00514A44" w:rsidRDefault="00B94415" w:rsidP="009A490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288B46" w14:textId="77777777" w:rsidR="00B94415" w:rsidRPr="00514A44" w:rsidRDefault="00B94415" w:rsidP="00480CD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73DB83" w14:textId="77777777" w:rsidR="00B94415" w:rsidRPr="00514A44" w:rsidRDefault="00B94415" w:rsidP="00480CD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B91DAF" w14:textId="77777777" w:rsidR="00B94415" w:rsidRPr="00514A44" w:rsidRDefault="00B94415" w:rsidP="00480CD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B4AE65" w14:textId="77777777" w:rsidR="00B94415" w:rsidRPr="00514A44" w:rsidRDefault="00B94415" w:rsidP="00480CD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4123" w14:textId="07504374" w:rsidR="00B94415" w:rsidRPr="00514A44" w:rsidRDefault="00B94415" w:rsidP="00480CD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Cs/>
                <w:sz w:val="16"/>
                <w:szCs w:val="16"/>
              </w:rPr>
              <w:t>(u EUR)</w:t>
            </w:r>
          </w:p>
        </w:tc>
      </w:tr>
      <w:tr w:rsidR="00B94415" w:rsidRPr="00514A44" w14:paraId="2F0C6E5C" w14:textId="77777777" w:rsidTr="009C0CC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46EDD9" w14:textId="77777777" w:rsidR="00480CDB" w:rsidRPr="00514A44" w:rsidRDefault="00480CDB" w:rsidP="00480CDB">
            <w:pPr>
              <w:spacing w:after="0" w:line="240" w:lineRule="auto"/>
              <w:jc w:val="center"/>
              <w:rPr>
                <w:rFonts w:eastAsia="Times New Roman" w:cs="Arial"/>
                <w:sz w:val="17"/>
                <w:szCs w:val="17"/>
              </w:rPr>
            </w:pPr>
            <w:r w:rsidRPr="00514A44">
              <w:rPr>
                <w:rFonts w:eastAsia="Times New Roman" w:cs="Arial"/>
                <w:sz w:val="17"/>
                <w:szCs w:val="17"/>
              </w:rPr>
              <w:t> 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A1F53B6" w14:textId="77777777" w:rsidR="00480CDB" w:rsidRPr="00514A44" w:rsidRDefault="00480CDB" w:rsidP="00480CD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DB113B" w14:textId="49FD3F56" w:rsidR="00480CDB" w:rsidRPr="00514A44" w:rsidRDefault="00480CDB" w:rsidP="00480CD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Ostvarenje 20</w:t>
            </w:r>
            <w:r w:rsidR="009031D8" w:rsidRPr="00514A44">
              <w:rPr>
                <w:rFonts w:eastAsia="Times New Roman" w:cs="Arial"/>
                <w:b/>
                <w:bCs/>
                <w:sz w:val="16"/>
                <w:szCs w:val="16"/>
              </w:rPr>
              <w:t>2</w:t>
            </w:r>
            <w:r w:rsidR="004B35D0" w:rsidRPr="00514A44">
              <w:rPr>
                <w:rFonts w:eastAsia="Times New Roman" w:cs="Arial"/>
                <w:b/>
                <w:bCs/>
                <w:sz w:val="16"/>
                <w:szCs w:val="16"/>
              </w:rPr>
              <w:t>1</w:t>
            </w: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 xml:space="preserve">. </w:t>
            </w:r>
            <w:r w:rsidR="003451CC" w:rsidRPr="00514A44">
              <w:rPr>
                <w:rFonts w:eastAsia="Times New Roman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30F367" w14:textId="53D16E52" w:rsidR="00480CDB" w:rsidRPr="00514A44" w:rsidRDefault="00480CDB" w:rsidP="00480CD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Ostvarenje 20</w:t>
            </w:r>
            <w:r w:rsidR="00350ED8" w:rsidRPr="00514A44">
              <w:rPr>
                <w:rFonts w:eastAsia="Times New Roman" w:cs="Arial"/>
                <w:b/>
                <w:bCs/>
                <w:sz w:val="16"/>
                <w:szCs w:val="16"/>
              </w:rPr>
              <w:t>2</w:t>
            </w:r>
            <w:r w:rsidR="004B35D0" w:rsidRPr="00514A44">
              <w:rPr>
                <w:rFonts w:eastAsia="Times New Roman" w:cs="Arial"/>
                <w:b/>
                <w:bCs/>
                <w:sz w:val="16"/>
                <w:szCs w:val="16"/>
              </w:rPr>
              <w:t>2</w:t>
            </w: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 xml:space="preserve">. </w:t>
            </w:r>
            <w:r w:rsidR="003451CC" w:rsidRPr="00514A44">
              <w:rPr>
                <w:rFonts w:eastAsia="Times New Roman" w:cs="Arial"/>
                <w:b/>
                <w:bCs/>
                <w:sz w:val="16"/>
                <w:szCs w:val="16"/>
              </w:rPr>
              <w:t>**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F690B5" w14:textId="77777777" w:rsidR="009A490C" w:rsidRPr="00514A44" w:rsidRDefault="008E4C14" w:rsidP="009A490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Procjena</w:t>
            </w:r>
          </w:p>
          <w:p w14:paraId="0B1A44E0" w14:textId="32CD9E3B" w:rsidR="00480CDB" w:rsidRPr="00514A44" w:rsidRDefault="009A490C" w:rsidP="00AD40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20</w:t>
            </w:r>
            <w:r w:rsidR="008E4C14" w:rsidRPr="00514A44">
              <w:rPr>
                <w:rFonts w:eastAsia="Times New Roman" w:cs="Arial"/>
                <w:b/>
                <w:bCs/>
                <w:sz w:val="16"/>
                <w:szCs w:val="16"/>
              </w:rPr>
              <w:t>2</w:t>
            </w:r>
            <w:r w:rsidR="004B35D0" w:rsidRPr="00514A44">
              <w:rPr>
                <w:rFonts w:eastAsia="Times New Roman" w:cs="Arial"/>
                <w:b/>
                <w:bCs/>
                <w:sz w:val="16"/>
                <w:szCs w:val="16"/>
              </w:rPr>
              <w:t>3</w:t>
            </w:r>
            <w:r w:rsidR="009031D8" w:rsidRPr="00514A44">
              <w:rPr>
                <w:rFonts w:eastAsia="Times New Roman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9D1060B" w14:textId="195D06DD" w:rsidR="00480CDB" w:rsidRPr="00514A44" w:rsidRDefault="00480CDB" w:rsidP="00480CD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 xml:space="preserve">Trogodišnji </w:t>
            </w:r>
            <w:r w:rsidR="00A944B2" w:rsidRPr="00514A44">
              <w:rPr>
                <w:rFonts w:eastAsia="Times New Roman" w:cs="Arial"/>
                <w:b/>
                <w:bCs/>
                <w:sz w:val="16"/>
                <w:szCs w:val="16"/>
              </w:rPr>
              <w:sym w:font="Symbol" w:char="F0C6"/>
            </w: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br/>
              <w:t>20</w:t>
            </w:r>
            <w:r w:rsidR="009031D8" w:rsidRPr="00514A44">
              <w:rPr>
                <w:rFonts w:eastAsia="Times New Roman" w:cs="Arial"/>
                <w:b/>
                <w:bCs/>
                <w:sz w:val="16"/>
                <w:szCs w:val="16"/>
              </w:rPr>
              <w:t>2</w:t>
            </w:r>
            <w:r w:rsidR="004B35D0" w:rsidRPr="00514A44">
              <w:rPr>
                <w:rFonts w:eastAsia="Times New Roman" w:cs="Arial"/>
                <w:b/>
                <w:bCs/>
                <w:sz w:val="16"/>
                <w:szCs w:val="16"/>
              </w:rPr>
              <w:t>1</w:t>
            </w: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.-20</w:t>
            </w:r>
            <w:r w:rsidR="00350ED8" w:rsidRPr="00514A44">
              <w:rPr>
                <w:rFonts w:eastAsia="Times New Roman" w:cs="Arial"/>
                <w:b/>
                <w:bCs/>
                <w:sz w:val="16"/>
                <w:szCs w:val="16"/>
              </w:rPr>
              <w:t>2</w:t>
            </w:r>
            <w:r w:rsidR="004B35D0" w:rsidRPr="00514A44">
              <w:rPr>
                <w:rFonts w:eastAsia="Times New Roman" w:cs="Arial"/>
                <w:b/>
                <w:bCs/>
                <w:sz w:val="16"/>
                <w:szCs w:val="16"/>
              </w:rPr>
              <w:t>3</w:t>
            </w: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E17E1B" w14:textId="5C3DCBA0" w:rsidR="00480CDB" w:rsidRPr="00514A44" w:rsidRDefault="00480CDB" w:rsidP="00480CD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Plan za 202</w:t>
            </w:r>
            <w:r w:rsidR="004B35D0" w:rsidRPr="00514A44">
              <w:rPr>
                <w:rFonts w:eastAsia="Times New Roman" w:cs="Arial"/>
                <w:b/>
                <w:bCs/>
                <w:sz w:val="16"/>
                <w:szCs w:val="16"/>
              </w:rPr>
              <w:t>4</w:t>
            </w: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AFAECC" w14:textId="7421A788" w:rsidR="00480CDB" w:rsidRPr="00514A44" w:rsidRDefault="00480CDB" w:rsidP="00480CD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Plan za 202</w:t>
            </w:r>
            <w:r w:rsidR="004B35D0" w:rsidRPr="00514A44">
              <w:rPr>
                <w:rFonts w:eastAsia="Times New Roman" w:cs="Arial"/>
                <w:b/>
                <w:bCs/>
                <w:sz w:val="16"/>
                <w:szCs w:val="16"/>
              </w:rPr>
              <w:t>5</w:t>
            </w: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D18B8B" w14:textId="07FA6A19" w:rsidR="00480CDB" w:rsidRPr="00514A44" w:rsidRDefault="00480CDB" w:rsidP="00480CD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Plan za 202</w:t>
            </w:r>
            <w:r w:rsidR="004B35D0" w:rsidRPr="00514A44">
              <w:rPr>
                <w:rFonts w:eastAsia="Times New Roman" w:cs="Arial"/>
                <w:b/>
                <w:bCs/>
                <w:sz w:val="16"/>
                <w:szCs w:val="16"/>
              </w:rPr>
              <w:t>6</w:t>
            </w:r>
            <w:r w:rsidR="009031D8" w:rsidRPr="00514A44">
              <w:rPr>
                <w:rFonts w:eastAsia="Times New Roman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EE33F9E" w14:textId="6D811C25" w:rsidR="00480CDB" w:rsidRPr="00514A44" w:rsidRDefault="00480CDB" w:rsidP="00480CD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 xml:space="preserve">Trogodišnji </w:t>
            </w:r>
            <w:r w:rsidR="00A944B2" w:rsidRPr="00514A44">
              <w:rPr>
                <w:rFonts w:eastAsia="Times New Roman" w:cs="Arial"/>
                <w:b/>
                <w:bCs/>
                <w:sz w:val="16"/>
                <w:szCs w:val="16"/>
              </w:rPr>
              <w:sym w:font="Symbol" w:char="F0C6"/>
            </w: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br/>
              <w:t>202</w:t>
            </w:r>
            <w:r w:rsidR="00046990">
              <w:rPr>
                <w:rFonts w:eastAsia="Times New Roman" w:cs="Arial"/>
                <w:b/>
                <w:bCs/>
                <w:sz w:val="16"/>
                <w:szCs w:val="16"/>
              </w:rPr>
              <w:t>4</w:t>
            </w: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.-202</w:t>
            </w:r>
            <w:r w:rsidR="00046990">
              <w:rPr>
                <w:rFonts w:eastAsia="Times New Roman" w:cs="Arial"/>
                <w:b/>
                <w:bCs/>
                <w:sz w:val="16"/>
                <w:szCs w:val="16"/>
              </w:rPr>
              <w:t>6</w:t>
            </w: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.</w:t>
            </w:r>
          </w:p>
        </w:tc>
      </w:tr>
      <w:tr w:rsidR="006F6FFB" w:rsidRPr="00514A44" w14:paraId="11891D9F" w14:textId="77777777" w:rsidTr="009C0CC7">
        <w:trPr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90B9" w14:textId="35CB7AF7" w:rsidR="006F6FFB" w:rsidRPr="00514A44" w:rsidRDefault="006F6FFB" w:rsidP="006F6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514A44">
              <w:rPr>
                <w:rFonts w:eastAsia="Times New Roman" w:cs="Arial"/>
                <w:color w:val="000000"/>
                <w:sz w:val="17"/>
                <w:szCs w:val="17"/>
              </w:rPr>
              <w:t>I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6BFC2" w14:textId="45D4A044" w:rsidR="006F6FFB" w:rsidRPr="00514A44" w:rsidRDefault="006F6FFB" w:rsidP="006F6FFB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RASPOLOŽIVA SREDSTVA NA POČETKU GODINE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731F2" w14:textId="3BD186FF" w:rsidR="006F6FFB" w:rsidRPr="00514A44" w:rsidRDefault="006F6FFB" w:rsidP="006F6FFB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543.727.532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3DACC" w14:textId="7ED973C4" w:rsidR="006F6FFB" w:rsidRPr="00514A44" w:rsidRDefault="006F6FFB" w:rsidP="006F6FFB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581.828.916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D7B55" w14:textId="32995CFA" w:rsidR="006F6FFB" w:rsidRPr="00514A44" w:rsidRDefault="006F6FFB" w:rsidP="006F6FFB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456.739.886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198140B3" w14:textId="08A013BB" w:rsidR="006F6FFB" w:rsidRPr="00514A44" w:rsidRDefault="006F6FFB" w:rsidP="006F6FFB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527.432.111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BDE2F" w14:textId="31215CB4" w:rsidR="006F6FFB" w:rsidRPr="00514A44" w:rsidRDefault="006F6FFB" w:rsidP="006F6FFB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438.925.</w:t>
            </w:r>
            <w:r w:rsidR="00991D1A" w:rsidRPr="00514A44">
              <w:rPr>
                <w:rFonts w:cs="Arial"/>
                <w:color w:val="000000"/>
                <w:sz w:val="15"/>
                <w:szCs w:val="15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76BAC" w14:textId="46B6BCEC" w:rsidR="006F6FFB" w:rsidRPr="00514A44" w:rsidRDefault="006F6FFB" w:rsidP="006F6FFB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440.893.000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A5A9D" w14:textId="55EE31E2" w:rsidR="006F6FFB" w:rsidRPr="00514A44" w:rsidRDefault="006F6FFB" w:rsidP="006F6FFB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359.330.000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</w:tcPr>
          <w:p w14:paraId="0CD2E433" w14:textId="2110824D" w:rsidR="006F6FFB" w:rsidRPr="00514A44" w:rsidRDefault="006F6FFB" w:rsidP="006F6FFB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413.049.</w:t>
            </w:r>
            <w:r w:rsidR="001979C6" w:rsidRPr="00514A44">
              <w:rPr>
                <w:rFonts w:cs="Arial"/>
                <w:color w:val="000000"/>
                <w:sz w:val="15"/>
                <w:szCs w:val="15"/>
              </w:rPr>
              <w:t>333</w:t>
            </w:r>
          </w:p>
        </w:tc>
      </w:tr>
      <w:tr w:rsidR="006F6FFB" w:rsidRPr="00514A44" w14:paraId="52366DA9" w14:textId="77777777" w:rsidTr="009C0CC7">
        <w:trPr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91CCA" w14:textId="662D15DC" w:rsidR="006F6FFB" w:rsidRPr="00514A44" w:rsidRDefault="006F6FFB" w:rsidP="006F6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514A44">
              <w:rPr>
                <w:rFonts w:eastAsia="Times New Roman" w:cs="Arial"/>
                <w:color w:val="000000"/>
                <w:sz w:val="17"/>
                <w:szCs w:val="17"/>
              </w:rPr>
              <w:t>IA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23019" w14:textId="107628B5" w:rsidR="006F6FFB" w:rsidRPr="00514A44" w:rsidRDefault="006F6FFB" w:rsidP="006F6FFB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ISPRAVAK POČETNOG STANJA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C0A31" w14:textId="3259A18C" w:rsidR="006F6FFB" w:rsidRPr="00514A44" w:rsidRDefault="006F6FFB" w:rsidP="006F6FFB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FF535" w14:textId="1EC2FDCB" w:rsidR="006F6FFB" w:rsidRPr="00514A44" w:rsidRDefault="006F6FFB" w:rsidP="006F6FFB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ED264" w14:textId="3F2A0528" w:rsidR="006F6FFB" w:rsidRPr="00514A44" w:rsidRDefault="006F6FFB" w:rsidP="006F6FFB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3399FB9A" w14:textId="13960B80" w:rsidR="006F6FFB" w:rsidRPr="00514A44" w:rsidRDefault="006F6FFB" w:rsidP="006F6FFB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62268" w14:textId="0E28DC57" w:rsidR="006F6FFB" w:rsidRPr="00514A44" w:rsidRDefault="006F6FFB" w:rsidP="006F6FFB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2BE7E" w14:textId="3157638B" w:rsidR="006F6FFB" w:rsidRPr="00514A44" w:rsidRDefault="006F6FFB" w:rsidP="006F6FFB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2CDA5" w14:textId="14E365A9" w:rsidR="006F6FFB" w:rsidRPr="00514A44" w:rsidRDefault="006F6FFB" w:rsidP="006F6FFB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</w:tcPr>
          <w:p w14:paraId="6397D0E9" w14:textId="3EB05230" w:rsidR="006F6FFB" w:rsidRPr="00514A44" w:rsidRDefault="006F6FFB" w:rsidP="006F6FFB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-</w:t>
            </w:r>
          </w:p>
        </w:tc>
      </w:tr>
      <w:tr w:rsidR="006F6FFB" w:rsidRPr="00514A44" w14:paraId="33C368F0" w14:textId="77777777" w:rsidTr="009C0CC7">
        <w:trPr>
          <w:trHeight w:val="112"/>
          <w:jc w:val="center"/>
        </w:trPr>
        <w:tc>
          <w:tcPr>
            <w:tcW w:w="52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20CDD" w14:textId="77777777" w:rsidR="006F6FFB" w:rsidRPr="00514A44" w:rsidRDefault="006F6FFB" w:rsidP="006F6FFB">
            <w:pPr>
              <w:spacing w:after="0" w:line="240" w:lineRule="auto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514A44">
              <w:rPr>
                <w:rFonts w:eastAsia="Times New Roman" w:cs="Arial"/>
                <w:b/>
                <w:bCs/>
                <w:sz w:val="17"/>
                <w:szCs w:val="17"/>
              </w:rPr>
              <w:t> Odljevi: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46BA8" w14:textId="77777777" w:rsidR="006F6FFB" w:rsidRPr="00514A44" w:rsidRDefault="006F6FFB" w:rsidP="006F6FFB">
            <w:pPr>
              <w:spacing w:after="0" w:line="240" w:lineRule="auto"/>
              <w:rPr>
                <w:rFonts w:eastAsia="Times New Roman" w:cs="Arial"/>
                <w:sz w:val="15"/>
                <w:szCs w:val="15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2B8B1" w14:textId="7AD46015" w:rsidR="006F6FFB" w:rsidRPr="00514A44" w:rsidRDefault="006F6FFB" w:rsidP="006F6FFB">
            <w:pPr>
              <w:spacing w:after="0" w:line="240" w:lineRule="auto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41BAB" w14:textId="1D8462F0" w:rsidR="006F6FFB" w:rsidRPr="00514A44" w:rsidRDefault="006F6FFB" w:rsidP="006F6FFB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32A63FE5" w14:textId="12A9F764" w:rsidR="006F6FFB" w:rsidRPr="00514A44" w:rsidRDefault="006F6FFB" w:rsidP="006F6FFB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E06B0" w14:textId="37AB0495" w:rsidR="006F6FFB" w:rsidRPr="00514A44" w:rsidRDefault="006F6FFB" w:rsidP="006F6FFB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36740" w14:textId="68CFBD02" w:rsidR="006F6FFB" w:rsidRPr="00514A44" w:rsidRDefault="006F6FFB" w:rsidP="006F6FFB">
            <w:pPr>
              <w:spacing w:after="0" w:line="240" w:lineRule="auto"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CEFDE" w14:textId="2DE5ED5C" w:rsidR="006F6FFB" w:rsidRPr="00514A44" w:rsidRDefault="006F6FFB" w:rsidP="006F6FFB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92B0DF5" w14:textId="0EFD7E60" w:rsidR="006F6FFB" w:rsidRPr="00514A44" w:rsidRDefault="006F6FFB" w:rsidP="006F6FFB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</w:p>
        </w:tc>
      </w:tr>
      <w:tr w:rsidR="00B94415" w:rsidRPr="00514A44" w14:paraId="37F09A3D" w14:textId="77777777" w:rsidTr="009C0CC7">
        <w:trPr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4546A"/>
            <w:noWrap/>
            <w:vAlign w:val="bottom"/>
            <w:hideMark/>
          </w:tcPr>
          <w:p w14:paraId="6A9D9F78" w14:textId="77777777" w:rsidR="006F6FFB" w:rsidRPr="00514A44" w:rsidRDefault="006F6FFB" w:rsidP="006F6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514A44">
              <w:rPr>
                <w:rFonts w:eastAsia="Times New Roman" w:cs="Arial"/>
                <w:color w:val="000000"/>
                <w:sz w:val="17"/>
                <w:szCs w:val="17"/>
              </w:rPr>
              <w:t>II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vAlign w:val="center"/>
            <w:hideMark/>
          </w:tcPr>
          <w:p w14:paraId="3BFBA818" w14:textId="77777777" w:rsidR="006F6FFB" w:rsidRPr="00514A44" w:rsidRDefault="006F6FFB" w:rsidP="006F6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7"/>
                <w:szCs w:val="17"/>
              </w:rPr>
            </w:pPr>
            <w:r w:rsidRPr="00514A44">
              <w:rPr>
                <w:rFonts w:eastAsia="Times New Roman" w:cs="Arial"/>
                <w:b/>
                <w:bCs/>
                <w:color w:val="FFFFFF"/>
                <w:sz w:val="17"/>
                <w:szCs w:val="17"/>
              </w:rPr>
              <w:t>PLASMANI, OTPLATA OBVEZA I TROŠKOVI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noWrap/>
            <w:vAlign w:val="center"/>
            <w:hideMark/>
          </w:tcPr>
          <w:p w14:paraId="406C70F8" w14:textId="1F018E56" w:rsidR="006F6FFB" w:rsidRPr="00514A44" w:rsidRDefault="006F6FFB" w:rsidP="006F6FFB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noWrap/>
            <w:vAlign w:val="center"/>
          </w:tcPr>
          <w:p w14:paraId="1B36A22D" w14:textId="36DBA138" w:rsidR="006F6FFB" w:rsidRPr="00514A44" w:rsidRDefault="006F6FFB" w:rsidP="006F6FFB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noWrap/>
            <w:vAlign w:val="center"/>
          </w:tcPr>
          <w:p w14:paraId="19F86826" w14:textId="22C4BA10" w:rsidR="006F6FFB" w:rsidRPr="00514A44" w:rsidRDefault="006F6FFB" w:rsidP="006F6FFB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noWrap/>
            <w:vAlign w:val="center"/>
          </w:tcPr>
          <w:p w14:paraId="69C03E70" w14:textId="7022ADAF" w:rsidR="006F6FFB" w:rsidRPr="00514A44" w:rsidRDefault="006F6FFB" w:rsidP="006F6FFB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center"/>
          </w:tcPr>
          <w:p w14:paraId="0F283737" w14:textId="7D6E036A" w:rsidR="006F6FFB" w:rsidRPr="00514A44" w:rsidRDefault="006F6FFB" w:rsidP="006F6FFB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noWrap/>
            <w:vAlign w:val="center"/>
          </w:tcPr>
          <w:p w14:paraId="14DAFB5F" w14:textId="0085E8A1" w:rsidR="006F6FFB" w:rsidRPr="00514A44" w:rsidRDefault="006F6FFB" w:rsidP="006F6FFB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noWrap/>
            <w:vAlign w:val="center"/>
          </w:tcPr>
          <w:p w14:paraId="2FEA1C71" w14:textId="2C3A2A5A" w:rsidR="006F6FFB" w:rsidRPr="00514A44" w:rsidRDefault="006F6FFB" w:rsidP="006F6FFB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4546A"/>
            <w:noWrap/>
            <w:vAlign w:val="center"/>
          </w:tcPr>
          <w:p w14:paraId="4351E5FB" w14:textId="4E778B93" w:rsidR="006F6FFB" w:rsidRPr="00514A44" w:rsidRDefault="006F6FFB" w:rsidP="006F6FFB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 </w:t>
            </w:r>
          </w:p>
        </w:tc>
      </w:tr>
      <w:tr w:rsidR="0072696F" w:rsidRPr="00514A44" w14:paraId="70F341A7" w14:textId="77777777" w:rsidTr="009C0CC7">
        <w:trPr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D7A6" w14:textId="77777777" w:rsidR="0072696F" w:rsidRPr="00514A44" w:rsidRDefault="0072696F" w:rsidP="0072696F">
            <w:pPr>
              <w:spacing w:after="0" w:line="240" w:lineRule="auto"/>
              <w:jc w:val="center"/>
              <w:rPr>
                <w:rFonts w:eastAsia="Times New Roman" w:cs="Arial"/>
                <w:sz w:val="17"/>
                <w:szCs w:val="17"/>
              </w:rPr>
            </w:pPr>
            <w:r w:rsidRPr="00514A44">
              <w:rPr>
                <w:rFonts w:eastAsia="Times New Roman" w:cs="Arial"/>
                <w:sz w:val="17"/>
                <w:szCs w:val="17"/>
              </w:rPr>
              <w:t>1.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2CBB4" w14:textId="77777777" w:rsidR="0072696F" w:rsidRPr="00514A44" w:rsidRDefault="0072696F" w:rsidP="0072696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eastAsia="Times New Roman" w:cs="Arial"/>
                <w:sz w:val="16"/>
                <w:szCs w:val="16"/>
              </w:rPr>
              <w:t xml:space="preserve">Kreditne aktivnosti - isplate po kreditnim programima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D8E68" w14:textId="4B04414A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702.622.331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D19B3" w14:textId="34B3228B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784.487.358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FD3C7" w14:textId="4B2C889E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884.382.000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</w:tcPr>
          <w:p w14:paraId="470C3490" w14:textId="435BF678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790.497.230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945CA" w14:textId="4585F939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680.805.000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7292E" w14:textId="673A2535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717.892.000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39889" w14:textId="1F6177BE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705.000.000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</w:tcPr>
          <w:p w14:paraId="2BBF9CE8" w14:textId="7A09681F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701.232.333</w:t>
            </w:r>
          </w:p>
        </w:tc>
      </w:tr>
      <w:tr w:rsidR="0072696F" w:rsidRPr="00514A44" w14:paraId="46EC1458" w14:textId="77777777" w:rsidTr="009C0CC7">
        <w:trPr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878C" w14:textId="77777777" w:rsidR="0072696F" w:rsidRPr="00514A44" w:rsidRDefault="0072696F" w:rsidP="0072696F">
            <w:pPr>
              <w:spacing w:after="0" w:line="240" w:lineRule="auto"/>
              <w:jc w:val="center"/>
              <w:rPr>
                <w:rFonts w:eastAsia="Times New Roman" w:cs="Arial"/>
                <w:sz w:val="17"/>
                <w:szCs w:val="17"/>
              </w:rPr>
            </w:pPr>
            <w:r w:rsidRPr="00514A44">
              <w:rPr>
                <w:rFonts w:eastAsia="Times New Roman" w:cs="Arial"/>
                <w:sz w:val="17"/>
                <w:szCs w:val="17"/>
              </w:rPr>
              <w:t>2.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EE4A4" w14:textId="77777777" w:rsidR="0072696F" w:rsidRPr="00514A44" w:rsidRDefault="0072696F" w:rsidP="0072696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eastAsia="Times New Roman" w:cs="Arial"/>
                <w:sz w:val="16"/>
                <w:szCs w:val="16"/>
              </w:rPr>
              <w:t>Otplata glavnice i kamata zaduženja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65F2A" w14:textId="0CCB617B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327.222.637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DA433" w14:textId="697E07FE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335.447.440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11F7A" w14:textId="593A0C95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539.774.000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</w:tcPr>
          <w:p w14:paraId="48617B57" w14:textId="10865932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400.814.692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58149" w14:textId="73E5C016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515.412.000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DAEB3" w14:textId="390CD041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412.934.000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3F96B" w14:textId="3CC405AB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435.487.000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</w:tcPr>
          <w:p w14:paraId="23246965" w14:textId="54E6061E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454.611.000</w:t>
            </w:r>
          </w:p>
        </w:tc>
      </w:tr>
      <w:tr w:rsidR="0072696F" w:rsidRPr="00514A44" w14:paraId="3C2D38DD" w14:textId="77777777" w:rsidTr="009C0CC7">
        <w:trPr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B118D" w14:textId="38507E7F" w:rsidR="0072696F" w:rsidRPr="00514A44" w:rsidRDefault="0072696F" w:rsidP="0072696F">
            <w:pPr>
              <w:spacing w:after="0" w:line="240" w:lineRule="auto"/>
              <w:jc w:val="center"/>
              <w:rPr>
                <w:rFonts w:eastAsia="Times New Roman" w:cs="Arial"/>
                <w:sz w:val="17"/>
                <w:szCs w:val="17"/>
              </w:rPr>
            </w:pPr>
            <w:r w:rsidRPr="00514A44">
              <w:rPr>
                <w:rFonts w:eastAsia="Times New Roman" w:cs="Arial"/>
                <w:sz w:val="17"/>
                <w:szCs w:val="17"/>
              </w:rPr>
              <w:t>3.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D200C" w14:textId="13B135A1" w:rsidR="0072696F" w:rsidRPr="00514A44" w:rsidRDefault="0072696F" w:rsidP="0072696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514A44">
              <w:rPr>
                <w:rFonts w:eastAsia="Times New Roman" w:cs="Arial"/>
                <w:color w:val="000000"/>
                <w:sz w:val="16"/>
                <w:szCs w:val="16"/>
              </w:rPr>
              <w:t>Odljev sredstava po kratkoročnim depozitima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32D52" w14:textId="281BDE27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E8F24" w14:textId="7B6BD15A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118.406.928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5FE38" w14:textId="019E8B7F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145.000.000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</w:tcPr>
          <w:p w14:paraId="45A66F47" w14:textId="2FE6C8F9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87.802.309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7E055" w14:textId="67E21D80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52.399.000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5DD77" w14:textId="5F874718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25.000.000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E0E18" w14:textId="6001CEA8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</w:tcPr>
          <w:p w14:paraId="39EFB631" w14:textId="393E1F65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25.799.667</w:t>
            </w:r>
          </w:p>
        </w:tc>
      </w:tr>
      <w:tr w:rsidR="0072696F" w:rsidRPr="00514A44" w14:paraId="30796090" w14:textId="77777777" w:rsidTr="009C0CC7">
        <w:trPr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1B19B" w14:textId="53E7FBB6" w:rsidR="0072696F" w:rsidRPr="00514A44" w:rsidRDefault="0072696F" w:rsidP="0072696F">
            <w:pPr>
              <w:spacing w:after="0" w:line="240" w:lineRule="auto"/>
              <w:jc w:val="center"/>
              <w:rPr>
                <w:rFonts w:eastAsia="Times New Roman" w:cs="Arial"/>
                <w:sz w:val="17"/>
                <w:szCs w:val="17"/>
              </w:rPr>
            </w:pPr>
            <w:r w:rsidRPr="00514A44">
              <w:rPr>
                <w:rFonts w:eastAsia="Times New Roman" w:cs="Arial"/>
                <w:sz w:val="17"/>
                <w:szCs w:val="17"/>
              </w:rPr>
              <w:t>4.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754DC" w14:textId="468C134E" w:rsidR="0072696F" w:rsidRPr="00514A44" w:rsidRDefault="0072696F" w:rsidP="0072696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514A44">
              <w:rPr>
                <w:rFonts w:eastAsia="Times New Roman" w:cs="Arial"/>
                <w:color w:val="000000"/>
                <w:sz w:val="16"/>
                <w:szCs w:val="16"/>
              </w:rPr>
              <w:t>Troškovi poslovanja i naknada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F55B0" w14:textId="658D4A20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20.647.823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70BA3" w14:textId="0A2C63CA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20.434.903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67017" w14:textId="2118856F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24.451.000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</w:tcPr>
          <w:p w14:paraId="7486F034" w14:textId="24C84B45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21.844.575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9F086" w14:textId="4D2C2B9A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29.783.000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D4BC7" w14:textId="1817470F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29.600.000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0D7F4" w14:textId="3E6C2E88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29.427.000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</w:tcPr>
          <w:p w14:paraId="19496A22" w14:textId="175AF4DD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29.603.333</w:t>
            </w:r>
          </w:p>
        </w:tc>
      </w:tr>
      <w:tr w:rsidR="0072696F" w:rsidRPr="00514A44" w14:paraId="1B5B5F8E" w14:textId="77777777" w:rsidTr="009C0CC7">
        <w:trPr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4E77F" w14:textId="0D831421" w:rsidR="0072696F" w:rsidRPr="00514A44" w:rsidRDefault="0072696F" w:rsidP="0072696F">
            <w:pPr>
              <w:spacing w:after="0" w:line="240" w:lineRule="auto"/>
              <w:jc w:val="center"/>
              <w:rPr>
                <w:rFonts w:eastAsia="Times New Roman" w:cs="Arial"/>
                <w:sz w:val="17"/>
                <w:szCs w:val="17"/>
              </w:rPr>
            </w:pPr>
            <w:r w:rsidRPr="00514A44">
              <w:rPr>
                <w:rFonts w:eastAsia="Times New Roman" w:cs="Arial"/>
                <w:sz w:val="17"/>
                <w:szCs w:val="17"/>
              </w:rPr>
              <w:t>5.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1E64D" w14:textId="77777777" w:rsidR="0072696F" w:rsidRPr="00514A44" w:rsidRDefault="0072696F" w:rsidP="0072696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514A44">
              <w:rPr>
                <w:rFonts w:eastAsia="Times New Roman" w:cs="Arial"/>
                <w:color w:val="000000"/>
                <w:sz w:val="16"/>
                <w:szCs w:val="16"/>
              </w:rPr>
              <w:t>Garantni fond osiguranja izvoza – mandatni posao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CF8DC" w14:textId="56173288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59.901.387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3BE13" w14:textId="52A45184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87.123.156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FDAEA" w14:textId="17B75BF7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95.999.000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</w:tcPr>
          <w:p w14:paraId="45DDFEBA" w14:textId="43EE9D53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81.007.848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1F67D" w14:textId="064FC8F3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65.638.000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A2035" w14:textId="5A282872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60.945.000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26266" w14:textId="31AA3A4E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60.945.000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</w:tcPr>
          <w:p w14:paraId="7F55D864" w14:textId="09B9931A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62.509.333</w:t>
            </w:r>
          </w:p>
        </w:tc>
      </w:tr>
      <w:tr w:rsidR="0072696F" w:rsidRPr="00514A44" w14:paraId="051A4F86" w14:textId="77777777" w:rsidTr="009C0CC7">
        <w:trPr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2BBF2" w14:textId="70536283" w:rsidR="0072696F" w:rsidRPr="00514A44" w:rsidRDefault="0072696F" w:rsidP="0072696F">
            <w:pPr>
              <w:spacing w:after="0" w:line="240" w:lineRule="auto"/>
              <w:jc w:val="center"/>
              <w:rPr>
                <w:rFonts w:eastAsia="Times New Roman" w:cs="Arial"/>
                <w:sz w:val="17"/>
                <w:szCs w:val="17"/>
              </w:rPr>
            </w:pPr>
            <w:r w:rsidRPr="00514A44">
              <w:rPr>
                <w:rFonts w:eastAsia="Times New Roman" w:cs="Arial"/>
                <w:sz w:val="17"/>
                <w:szCs w:val="17"/>
              </w:rPr>
              <w:t>6.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10A47" w14:textId="77777777" w:rsidR="0072696F" w:rsidRPr="00514A44" w:rsidRDefault="0072696F" w:rsidP="0072696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514A44">
              <w:rPr>
                <w:rFonts w:eastAsia="Times New Roman" w:cs="Arial"/>
                <w:color w:val="000000"/>
                <w:sz w:val="16"/>
                <w:szCs w:val="16"/>
              </w:rPr>
              <w:t>Ulaganje u FGS - mandatni posao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43E0E" w14:textId="6D105C47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23.828.767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D6719" w14:textId="35930E79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1.980.923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8CC8C" w14:textId="58386369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2.799.000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</w:tcPr>
          <w:p w14:paraId="09FC05FB" w14:textId="7479F7F1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9.536.230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E300C" w14:textId="00685447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6093D" w14:textId="6A647A87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D2A93" w14:textId="1D9F0C93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</w:tcPr>
          <w:p w14:paraId="3A7712D5" w14:textId="442C78FB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-</w:t>
            </w:r>
          </w:p>
        </w:tc>
      </w:tr>
      <w:tr w:rsidR="0072696F" w:rsidRPr="00514A44" w14:paraId="459275C3" w14:textId="77777777" w:rsidTr="009C0CC7">
        <w:trPr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350C4" w14:textId="1754ECA1" w:rsidR="0072696F" w:rsidRPr="00514A44" w:rsidRDefault="0072696F" w:rsidP="0072696F">
            <w:pPr>
              <w:spacing w:after="0" w:line="240" w:lineRule="auto"/>
              <w:jc w:val="center"/>
              <w:rPr>
                <w:rFonts w:eastAsia="Times New Roman" w:cs="Arial"/>
                <w:sz w:val="17"/>
                <w:szCs w:val="17"/>
              </w:rPr>
            </w:pPr>
            <w:r w:rsidRPr="00514A44">
              <w:rPr>
                <w:rFonts w:eastAsia="Times New Roman" w:cs="Arial"/>
                <w:sz w:val="17"/>
                <w:szCs w:val="17"/>
              </w:rPr>
              <w:t>7.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E5E9F" w14:textId="571076F2" w:rsidR="0072696F" w:rsidRPr="00514A44" w:rsidRDefault="0072696F" w:rsidP="0072696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514A44">
              <w:rPr>
                <w:rFonts w:eastAsia="Times New Roman" w:cs="Arial"/>
                <w:color w:val="000000"/>
                <w:sz w:val="16"/>
                <w:szCs w:val="16"/>
              </w:rPr>
              <w:t>Ulaganje u investicijski fond Inicijative triju mora-mandatni posao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0D77F" w14:textId="4CBFD267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7.332.490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805E5" w14:textId="0B42FD56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3.614.971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6E51B" w14:textId="0BFA920E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5.138.000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</w:tcPr>
          <w:p w14:paraId="5C3FF827" w14:textId="78B25D0E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5.361.820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FC49D" w14:textId="1A9BF7BA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2.800.000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689B5" w14:textId="535F3DA8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100.000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DDA50" w14:textId="680834C8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100.000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</w:tcPr>
          <w:p w14:paraId="67CD2F0A" w14:textId="61638D21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1.000.000</w:t>
            </w:r>
          </w:p>
        </w:tc>
      </w:tr>
      <w:tr w:rsidR="0072696F" w:rsidRPr="00514A44" w14:paraId="030BD807" w14:textId="77777777" w:rsidTr="009C0CC7">
        <w:trPr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29111" w14:textId="4132924F" w:rsidR="0072696F" w:rsidRPr="00514A44" w:rsidRDefault="0072696F" w:rsidP="0072696F">
            <w:pPr>
              <w:spacing w:after="0" w:line="240" w:lineRule="auto"/>
              <w:jc w:val="center"/>
              <w:rPr>
                <w:rFonts w:eastAsia="Times New Roman" w:cs="Arial"/>
                <w:sz w:val="17"/>
                <w:szCs w:val="17"/>
              </w:rPr>
            </w:pPr>
            <w:r w:rsidRPr="00514A44">
              <w:rPr>
                <w:rFonts w:eastAsia="Times New Roman" w:cs="Arial"/>
                <w:sz w:val="17"/>
                <w:szCs w:val="17"/>
              </w:rPr>
              <w:t>8.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40F6A" w14:textId="50C7CC46" w:rsidR="0072696F" w:rsidRPr="00514A44" w:rsidRDefault="0072696F" w:rsidP="0072696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514A44">
              <w:rPr>
                <w:rFonts w:eastAsia="Times New Roman" w:cs="Arial"/>
                <w:color w:val="000000"/>
                <w:sz w:val="16"/>
                <w:szCs w:val="16"/>
              </w:rPr>
              <w:t>Financijski instrumenti - NPOO - mandatni posao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05856" w14:textId="37856961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9946A" w14:textId="412166FE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56.407.194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F70AF" w14:textId="01013999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56.535.000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</w:tcPr>
          <w:p w14:paraId="55E2E308" w14:textId="7B0DB6CE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37.647.398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C94AD" w14:textId="0D0CD778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48.241.000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0AAD4" w14:textId="2435DAC7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48.241.000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67C22" w14:textId="1FF96DB7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28.333.000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</w:tcPr>
          <w:p w14:paraId="7DC4D427" w14:textId="01FEB18C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41.605.000</w:t>
            </w:r>
          </w:p>
        </w:tc>
      </w:tr>
      <w:tr w:rsidR="0072696F" w:rsidRPr="00514A44" w14:paraId="5EB0F3DE" w14:textId="77777777" w:rsidTr="009C0CC7">
        <w:trPr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687F" w14:textId="7B45741B" w:rsidR="0072696F" w:rsidRPr="00514A44" w:rsidRDefault="0072696F" w:rsidP="0072696F">
            <w:pPr>
              <w:spacing w:after="0" w:line="240" w:lineRule="auto"/>
              <w:jc w:val="center"/>
              <w:rPr>
                <w:rFonts w:eastAsia="Times New Roman" w:cs="Arial"/>
                <w:sz w:val="17"/>
                <w:szCs w:val="17"/>
              </w:rPr>
            </w:pPr>
            <w:r w:rsidRPr="00514A44">
              <w:rPr>
                <w:rFonts w:eastAsia="Times New Roman" w:cs="Arial"/>
                <w:sz w:val="17"/>
                <w:szCs w:val="17"/>
              </w:rPr>
              <w:t>9.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ABF68" w14:textId="77777777" w:rsidR="0072696F" w:rsidRPr="00514A44" w:rsidRDefault="0072696F" w:rsidP="0072696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514A44">
              <w:rPr>
                <w:rFonts w:eastAsia="Times New Roman" w:cs="Arial"/>
                <w:color w:val="000000"/>
                <w:sz w:val="16"/>
                <w:szCs w:val="16"/>
              </w:rPr>
              <w:t xml:space="preserve">Ostali plasmani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C881" w14:textId="71E239F8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40.795.453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1E0E5" w14:textId="2139E81D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46.477.109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D778D" w14:textId="04C2C447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68.449.886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</w:tcPr>
          <w:p w14:paraId="40302534" w14:textId="2E047D44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51.907.483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01296" w14:textId="1B0D7666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33.586.</w:t>
            </w:r>
            <w:r w:rsidR="005E3AB3" w:rsidRPr="00514A44">
              <w:rPr>
                <w:rFonts w:cs="Arial"/>
                <w:color w:val="000000"/>
                <w:sz w:val="15"/>
                <w:szCs w:val="15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5BE0A" w14:textId="1E24375A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34.883.000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84C4B" w14:textId="488FD3D6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32.160.000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</w:tcPr>
          <w:p w14:paraId="641397BC" w14:textId="05F4F42E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33.543.</w:t>
            </w:r>
            <w:r w:rsidR="005E3AB3" w:rsidRPr="00514A44">
              <w:rPr>
                <w:rFonts w:cs="Arial"/>
                <w:color w:val="000000"/>
                <w:sz w:val="15"/>
                <w:szCs w:val="15"/>
              </w:rPr>
              <w:t>000</w:t>
            </w:r>
          </w:p>
        </w:tc>
      </w:tr>
      <w:tr w:rsidR="00B94415" w:rsidRPr="00514A44" w14:paraId="6E64AFB9" w14:textId="77777777" w:rsidTr="009C0CC7">
        <w:trPr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45886D0E" w14:textId="16618519" w:rsidR="0072696F" w:rsidRPr="00514A44" w:rsidRDefault="0072696F" w:rsidP="0072696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7"/>
                <w:szCs w:val="17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14:paraId="1DCC9106" w14:textId="77777777" w:rsidR="0072696F" w:rsidRPr="00514A44" w:rsidRDefault="0072696F" w:rsidP="0072696F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UKUPNO (II)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4BE44BFA" w14:textId="63610271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514A44">
              <w:rPr>
                <w:rFonts w:cs="Arial"/>
                <w:b/>
                <w:bCs/>
                <w:color w:val="000000"/>
                <w:sz w:val="15"/>
                <w:szCs w:val="15"/>
              </w:rPr>
              <w:t>1.182.350.888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10438386" w14:textId="16B8A0E2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514A44">
              <w:rPr>
                <w:rFonts w:cs="Arial"/>
                <w:b/>
                <w:bCs/>
                <w:color w:val="000000"/>
                <w:sz w:val="15"/>
                <w:szCs w:val="15"/>
              </w:rPr>
              <w:t>1.454.379.982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09196D05" w14:textId="0EB23C60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 w:rsidRPr="00514A44">
              <w:rPr>
                <w:rFonts w:cs="Arial"/>
                <w:b/>
                <w:bCs/>
                <w:color w:val="000000"/>
                <w:sz w:val="15"/>
                <w:szCs w:val="15"/>
              </w:rPr>
              <w:t>1.822.527.886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</w:tcPr>
          <w:p w14:paraId="2F781B47" w14:textId="5E979B2D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 w:rsidRPr="00514A44">
              <w:rPr>
                <w:rFonts w:cs="Arial"/>
                <w:b/>
                <w:bCs/>
                <w:color w:val="000000"/>
                <w:sz w:val="15"/>
                <w:szCs w:val="15"/>
              </w:rPr>
              <w:t>1.486.419.585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2DBB510E" w14:textId="68BFDBA2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514A44">
              <w:rPr>
                <w:rFonts w:cs="Arial"/>
                <w:b/>
                <w:bCs/>
                <w:color w:val="000000"/>
                <w:sz w:val="15"/>
                <w:szCs w:val="15"/>
              </w:rPr>
              <w:t>1.428.664.</w:t>
            </w:r>
            <w:r w:rsidR="005E3AB3" w:rsidRPr="00514A44">
              <w:rPr>
                <w:rFonts w:cs="Arial"/>
                <w:b/>
                <w:bCs/>
                <w:color w:val="000000"/>
                <w:sz w:val="15"/>
                <w:szCs w:val="15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06214CE6" w14:textId="42114AA6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514A44">
              <w:rPr>
                <w:rFonts w:cs="Arial"/>
                <w:b/>
                <w:bCs/>
                <w:color w:val="000000"/>
                <w:sz w:val="15"/>
                <w:szCs w:val="15"/>
              </w:rPr>
              <w:t>1.329.595.000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468FB99E" w14:textId="69D491E8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514A44">
              <w:rPr>
                <w:rFonts w:cs="Arial"/>
                <w:b/>
                <w:bCs/>
                <w:color w:val="000000"/>
                <w:sz w:val="15"/>
                <w:szCs w:val="15"/>
              </w:rPr>
              <w:t>1.291.452.000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</w:tcPr>
          <w:p w14:paraId="12D0C6BB" w14:textId="373D3808" w:rsidR="0072696F" w:rsidRPr="00514A44" w:rsidRDefault="0072696F" w:rsidP="0072696F">
            <w:pPr>
              <w:spacing w:after="0" w:line="240" w:lineRule="auto"/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514A44">
              <w:rPr>
                <w:rFonts w:cs="Arial"/>
                <w:b/>
                <w:bCs/>
                <w:color w:val="000000"/>
                <w:sz w:val="15"/>
                <w:szCs w:val="15"/>
              </w:rPr>
              <w:t>1.349.903.</w:t>
            </w:r>
            <w:r w:rsidR="001979C6" w:rsidRPr="00514A44">
              <w:rPr>
                <w:rFonts w:cs="Arial"/>
                <w:b/>
                <w:bCs/>
                <w:color w:val="000000"/>
                <w:sz w:val="15"/>
                <w:szCs w:val="15"/>
              </w:rPr>
              <w:t>667</w:t>
            </w:r>
          </w:p>
        </w:tc>
      </w:tr>
      <w:tr w:rsidR="003D486D" w:rsidRPr="00514A44" w14:paraId="0433604B" w14:textId="77777777" w:rsidTr="009C0CC7">
        <w:trPr>
          <w:jc w:val="center"/>
        </w:trPr>
        <w:tc>
          <w:tcPr>
            <w:tcW w:w="52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64A77" w14:textId="4ACEDFB5" w:rsidR="00605139" w:rsidRPr="00514A44" w:rsidRDefault="00605139" w:rsidP="00605139">
            <w:pPr>
              <w:spacing w:after="0" w:line="240" w:lineRule="auto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514A44">
              <w:rPr>
                <w:rFonts w:eastAsia="Times New Roman" w:cs="Arial"/>
                <w:b/>
                <w:bCs/>
                <w:sz w:val="17"/>
                <w:szCs w:val="17"/>
              </w:rPr>
              <w:t>Priljevi: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36D42" w14:textId="77777777" w:rsidR="00605139" w:rsidRPr="00514A44" w:rsidRDefault="00605139" w:rsidP="00605139">
            <w:pPr>
              <w:spacing w:after="0" w:line="240" w:lineRule="auto"/>
              <w:jc w:val="right"/>
              <w:rPr>
                <w:rFonts w:eastAsia="Times New Roman" w:cs="Arial"/>
                <w:sz w:val="15"/>
                <w:szCs w:val="15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32F07" w14:textId="77777777" w:rsidR="00605139" w:rsidRPr="00514A44" w:rsidRDefault="00605139" w:rsidP="00605139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00646" w14:textId="77777777" w:rsidR="00605139" w:rsidRPr="00514A44" w:rsidRDefault="00605139" w:rsidP="00605139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557D601A" w14:textId="77777777" w:rsidR="00605139" w:rsidRPr="00514A44" w:rsidRDefault="00605139" w:rsidP="00605139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CB9E2" w14:textId="7D68F492" w:rsidR="00605139" w:rsidRPr="00514A44" w:rsidRDefault="00605139" w:rsidP="00605139">
            <w:pPr>
              <w:spacing w:after="0" w:line="240" w:lineRule="auto"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3F748" w14:textId="77777777" w:rsidR="00605139" w:rsidRPr="00514A44" w:rsidRDefault="00605139" w:rsidP="00605139">
            <w:pPr>
              <w:spacing w:after="0" w:line="240" w:lineRule="auto"/>
              <w:jc w:val="right"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25960" w14:textId="77777777" w:rsidR="00605139" w:rsidRPr="00514A44" w:rsidRDefault="00605139" w:rsidP="00605139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7EB9802" w14:textId="77777777" w:rsidR="00605139" w:rsidRPr="00514A44" w:rsidRDefault="00605139" w:rsidP="00605139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</w:p>
        </w:tc>
      </w:tr>
      <w:tr w:rsidR="00B94415" w:rsidRPr="00514A44" w14:paraId="13BD3F9C" w14:textId="77777777" w:rsidTr="009C0CC7">
        <w:trPr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4546A"/>
            <w:noWrap/>
            <w:vAlign w:val="center"/>
            <w:hideMark/>
          </w:tcPr>
          <w:p w14:paraId="4201CF60" w14:textId="77777777" w:rsidR="00605139" w:rsidRPr="00514A44" w:rsidRDefault="00605139" w:rsidP="0060513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514A44">
              <w:rPr>
                <w:rFonts w:eastAsia="Times New Roman" w:cs="Arial"/>
                <w:b/>
                <w:bCs/>
                <w:sz w:val="17"/>
                <w:szCs w:val="17"/>
              </w:rPr>
              <w:t>III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vAlign w:val="center"/>
            <w:hideMark/>
          </w:tcPr>
          <w:p w14:paraId="5A7D5D35" w14:textId="77777777" w:rsidR="00605139" w:rsidRPr="00514A44" w:rsidRDefault="00605139" w:rsidP="0060513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IZVORI SREDSTAVA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noWrap/>
            <w:vAlign w:val="center"/>
            <w:hideMark/>
          </w:tcPr>
          <w:p w14:paraId="166D9119" w14:textId="3988C0D2" w:rsidR="00605139" w:rsidRPr="00514A44" w:rsidRDefault="00605139" w:rsidP="00605139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noWrap/>
            <w:vAlign w:val="center"/>
          </w:tcPr>
          <w:p w14:paraId="04643391" w14:textId="77777777" w:rsidR="00605139" w:rsidRPr="00514A44" w:rsidRDefault="00605139" w:rsidP="00605139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center"/>
          </w:tcPr>
          <w:p w14:paraId="131B0018" w14:textId="3E7B92BB" w:rsidR="00605139" w:rsidRPr="00514A44" w:rsidRDefault="00605139" w:rsidP="00605139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center"/>
          </w:tcPr>
          <w:p w14:paraId="0DDF57F6" w14:textId="57F42CCA" w:rsidR="00605139" w:rsidRPr="00514A44" w:rsidRDefault="00605139" w:rsidP="00605139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center"/>
          </w:tcPr>
          <w:p w14:paraId="4C3E3788" w14:textId="25B8D5FE" w:rsidR="00605139" w:rsidRPr="00514A44" w:rsidRDefault="00605139" w:rsidP="00605139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noWrap/>
            <w:vAlign w:val="center"/>
          </w:tcPr>
          <w:p w14:paraId="09E53AF8" w14:textId="77777777" w:rsidR="00605139" w:rsidRPr="00514A44" w:rsidRDefault="00605139" w:rsidP="00605139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noWrap/>
            <w:vAlign w:val="center"/>
          </w:tcPr>
          <w:p w14:paraId="3A13F869" w14:textId="77777777" w:rsidR="00605139" w:rsidRPr="00514A44" w:rsidRDefault="00605139" w:rsidP="00605139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4546A"/>
            <w:noWrap/>
            <w:vAlign w:val="center"/>
          </w:tcPr>
          <w:p w14:paraId="2B2DB674" w14:textId="24C78222" w:rsidR="00605139" w:rsidRPr="00514A44" w:rsidRDefault="00605139" w:rsidP="00605139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</w:p>
        </w:tc>
      </w:tr>
      <w:tr w:rsidR="005E3AB3" w:rsidRPr="00514A44" w14:paraId="73C4F5F2" w14:textId="77777777" w:rsidTr="009C0CC7">
        <w:trPr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DF160" w14:textId="77777777" w:rsidR="005E3AB3" w:rsidRPr="00514A44" w:rsidRDefault="005E3AB3" w:rsidP="005E3AB3">
            <w:pPr>
              <w:spacing w:after="0" w:line="240" w:lineRule="auto"/>
              <w:jc w:val="center"/>
              <w:rPr>
                <w:rFonts w:eastAsia="Times New Roman" w:cs="Arial"/>
                <w:sz w:val="17"/>
                <w:szCs w:val="17"/>
              </w:rPr>
            </w:pPr>
            <w:r w:rsidRPr="00514A44">
              <w:rPr>
                <w:rFonts w:eastAsia="Times New Roman" w:cs="Arial"/>
                <w:sz w:val="17"/>
                <w:szCs w:val="17"/>
              </w:rPr>
              <w:t>1.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1E870" w14:textId="77777777" w:rsidR="005E3AB3" w:rsidRPr="00514A44" w:rsidRDefault="005E3AB3" w:rsidP="005E3AB3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eastAsia="Times New Roman" w:cs="Arial"/>
                <w:sz w:val="16"/>
                <w:szCs w:val="16"/>
              </w:rPr>
              <w:t>Očekivana naplata glavnice i kamate po odobrenim kreditima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CE22" w14:textId="532FB55D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848.310.973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69FBB" w14:textId="124A9C20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662.849.144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A9750" w14:textId="16DEF51C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746.484.000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</w:tcPr>
          <w:p w14:paraId="794B8B63" w14:textId="33BD78DC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752.548.039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F3F10" w14:textId="05F1ACCA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771.479.000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32A72" w14:textId="45530DB9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726.743.000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024E4" w14:textId="70F913B1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795.888.000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</w:tcPr>
          <w:p w14:paraId="252411A0" w14:textId="39C7D5B1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764.703.333</w:t>
            </w:r>
          </w:p>
        </w:tc>
      </w:tr>
      <w:tr w:rsidR="00B94415" w:rsidRPr="00514A44" w14:paraId="6B6AF70A" w14:textId="77777777" w:rsidTr="009C0CC7">
        <w:trPr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61C4869" w14:textId="77777777" w:rsidR="005E3AB3" w:rsidRPr="00514A44" w:rsidRDefault="005E3AB3" w:rsidP="005E3AB3">
            <w:pPr>
              <w:spacing w:after="0" w:line="240" w:lineRule="auto"/>
              <w:jc w:val="center"/>
              <w:rPr>
                <w:rFonts w:eastAsia="Times New Roman" w:cs="Arial"/>
                <w:sz w:val="17"/>
                <w:szCs w:val="17"/>
              </w:rPr>
            </w:pPr>
            <w:r w:rsidRPr="00514A44">
              <w:rPr>
                <w:rFonts w:eastAsia="Times New Roman" w:cs="Arial"/>
                <w:sz w:val="17"/>
                <w:szCs w:val="17"/>
              </w:rPr>
              <w:t>2.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14:paraId="6612DBF4" w14:textId="77777777" w:rsidR="005E3AB3" w:rsidRPr="00514A44" w:rsidRDefault="005E3AB3" w:rsidP="005E3AB3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eastAsia="Times New Roman" w:cs="Arial"/>
                <w:sz w:val="16"/>
                <w:szCs w:val="16"/>
              </w:rPr>
              <w:t>Povlačenje sredstava po ugovorenim obvezama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7C8D0A7C" w14:textId="0513480A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207.657.230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</w:tcPr>
          <w:p w14:paraId="49D83800" w14:textId="578FA4D1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325.833.657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</w:tcPr>
          <w:p w14:paraId="06E922B5" w14:textId="4E8C5096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670.000.000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</w:tcPr>
          <w:p w14:paraId="38E530E7" w14:textId="5107F152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401.163.629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</w:tcPr>
          <w:p w14:paraId="4B91DBC5" w14:textId="281CC63C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497.796.000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</w:tcPr>
          <w:p w14:paraId="35A8E3D7" w14:textId="21B08A58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392.500.000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</w:tcPr>
          <w:p w14:paraId="2B398FB1" w14:textId="0DDA93E1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387.500.000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</w:tcPr>
          <w:p w14:paraId="5A4A31F2" w14:textId="1F20F246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425.932.000</w:t>
            </w:r>
          </w:p>
        </w:tc>
      </w:tr>
      <w:tr w:rsidR="005E3AB3" w:rsidRPr="00514A44" w14:paraId="4A3CDA8C" w14:textId="77777777" w:rsidTr="009C0CC7">
        <w:trPr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42A94" w14:textId="4D2CA35B" w:rsidR="005E3AB3" w:rsidRPr="00514A44" w:rsidRDefault="005E3AB3" w:rsidP="005E3AB3">
            <w:pPr>
              <w:spacing w:after="0" w:line="240" w:lineRule="auto"/>
              <w:jc w:val="center"/>
              <w:rPr>
                <w:rFonts w:eastAsia="Times New Roman" w:cs="Arial"/>
                <w:sz w:val="17"/>
                <w:szCs w:val="17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231A1" w14:textId="77777777" w:rsidR="005E3AB3" w:rsidRPr="00514A44" w:rsidRDefault="005E3AB3" w:rsidP="005E3AB3">
            <w:pPr>
              <w:spacing w:after="0" w:line="240" w:lineRule="auto"/>
              <w:rPr>
                <w:rFonts w:eastAsia="Times New Roman" w:cs="Arial"/>
                <w:i/>
                <w:iCs/>
                <w:sz w:val="16"/>
                <w:szCs w:val="16"/>
              </w:rPr>
            </w:pPr>
            <w:r w:rsidRPr="00514A44">
              <w:rPr>
                <w:rFonts w:eastAsia="Times New Roman" w:cs="Arial"/>
                <w:i/>
                <w:iCs/>
                <w:sz w:val="16"/>
                <w:szCs w:val="16"/>
              </w:rPr>
              <w:t xml:space="preserve"> - povlačenje sredstava putem posebnih financijskih institucija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6BA5E" w14:textId="78E96BEE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i/>
                <w:iCs/>
                <w:color w:val="000000"/>
                <w:sz w:val="15"/>
                <w:szCs w:val="15"/>
              </w:rPr>
              <w:t>207.657.230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87510" w14:textId="75843B8C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i/>
                <w:iCs/>
                <w:color w:val="000000"/>
                <w:sz w:val="15"/>
                <w:szCs w:val="15"/>
              </w:rPr>
              <w:t>193.110.849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FBEE4" w14:textId="29CFCBFA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670.000.000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</w:tcPr>
          <w:p w14:paraId="500B0B57" w14:textId="7C764191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356.922.693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EF2A1" w14:textId="42DBF03A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i/>
                <w:iCs/>
                <w:color w:val="000000"/>
                <w:sz w:val="15"/>
                <w:szCs w:val="15"/>
              </w:rPr>
              <w:t>497.796.000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EE528" w14:textId="13025275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i/>
                <w:iCs/>
                <w:color w:val="000000"/>
                <w:sz w:val="15"/>
                <w:szCs w:val="15"/>
              </w:rPr>
              <w:t>392.500.000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9DAC3" w14:textId="45BEE3AA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i/>
                <w:iCs/>
                <w:color w:val="000000"/>
                <w:sz w:val="15"/>
                <w:szCs w:val="15"/>
              </w:rPr>
              <w:t>387.500.000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</w:tcPr>
          <w:p w14:paraId="592A63A0" w14:textId="37383174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425.932.000</w:t>
            </w:r>
          </w:p>
        </w:tc>
      </w:tr>
      <w:tr w:rsidR="005E3AB3" w:rsidRPr="00514A44" w14:paraId="6E69200A" w14:textId="77777777" w:rsidTr="009C0CC7">
        <w:trPr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1C81" w14:textId="4802B98B" w:rsidR="005E3AB3" w:rsidRPr="00514A44" w:rsidRDefault="005E3AB3" w:rsidP="005E3AB3">
            <w:pPr>
              <w:spacing w:after="0" w:line="240" w:lineRule="auto"/>
              <w:jc w:val="center"/>
              <w:rPr>
                <w:rFonts w:eastAsia="Times New Roman" w:cs="Arial"/>
                <w:sz w:val="17"/>
                <w:szCs w:val="17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74D10" w14:textId="77777777" w:rsidR="005E3AB3" w:rsidRPr="00514A44" w:rsidRDefault="005E3AB3" w:rsidP="005E3AB3">
            <w:pPr>
              <w:spacing w:after="0" w:line="240" w:lineRule="auto"/>
              <w:rPr>
                <w:rFonts w:eastAsia="Times New Roman" w:cs="Arial"/>
                <w:i/>
                <w:iCs/>
                <w:sz w:val="16"/>
                <w:szCs w:val="16"/>
              </w:rPr>
            </w:pPr>
            <w:r w:rsidRPr="00514A44">
              <w:rPr>
                <w:rFonts w:eastAsia="Times New Roman" w:cs="Arial"/>
                <w:i/>
                <w:iCs/>
                <w:sz w:val="16"/>
                <w:szCs w:val="16"/>
              </w:rPr>
              <w:t xml:space="preserve"> - zaduženje Ministarstva financija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45499" w14:textId="4C571BE3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i/>
                <w:iCs/>
                <w:color w:val="000000"/>
                <w:sz w:val="15"/>
                <w:szCs w:val="15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E601B" w14:textId="7783E883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i/>
                <w:iCs/>
                <w:color w:val="000000"/>
                <w:sz w:val="15"/>
                <w:szCs w:val="15"/>
              </w:rPr>
              <w:t>132.722.808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99C37" w14:textId="36BC6D52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</w:tcPr>
          <w:p w14:paraId="17DAAA7F" w14:textId="23C569EB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44.240.936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B8CAC" w14:textId="5C39AC3E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i/>
                <w:iCs/>
                <w:color w:val="000000"/>
                <w:sz w:val="15"/>
                <w:szCs w:val="15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087B7" w14:textId="05D19387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i/>
                <w:iCs/>
                <w:color w:val="000000"/>
                <w:sz w:val="15"/>
                <w:szCs w:val="15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33A2B" w14:textId="47B3275C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i/>
                <w:iCs/>
                <w:color w:val="000000"/>
                <w:sz w:val="15"/>
                <w:szCs w:val="15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</w:tcPr>
          <w:p w14:paraId="719B506B" w14:textId="651D9EEE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-</w:t>
            </w:r>
          </w:p>
        </w:tc>
      </w:tr>
      <w:tr w:rsidR="005E3AB3" w:rsidRPr="00514A44" w14:paraId="74B3EE3A" w14:textId="77777777" w:rsidTr="009C0CC7">
        <w:trPr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138C" w14:textId="34DF0376" w:rsidR="005E3AB3" w:rsidRPr="00514A44" w:rsidRDefault="005E3AB3" w:rsidP="005E3AB3">
            <w:pPr>
              <w:spacing w:after="0" w:line="240" w:lineRule="auto"/>
              <w:jc w:val="center"/>
              <w:rPr>
                <w:rFonts w:eastAsia="Times New Roman" w:cs="Arial"/>
                <w:sz w:val="17"/>
                <w:szCs w:val="17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DBBB3" w14:textId="77777777" w:rsidR="005E3AB3" w:rsidRPr="00514A44" w:rsidRDefault="005E3AB3" w:rsidP="005E3AB3">
            <w:pPr>
              <w:spacing w:after="0" w:line="240" w:lineRule="auto"/>
              <w:rPr>
                <w:rFonts w:eastAsia="Times New Roman" w:cs="Arial"/>
                <w:i/>
                <w:iCs/>
                <w:sz w:val="16"/>
                <w:szCs w:val="16"/>
              </w:rPr>
            </w:pPr>
            <w:r w:rsidRPr="00514A44">
              <w:rPr>
                <w:rFonts w:eastAsia="Times New Roman" w:cs="Arial"/>
                <w:i/>
                <w:iCs/>
                <w:sz w:val="16"/>
                <w:szCs w:val="16"/>
              </w:rPr>
              <w:t xml:space="preserve"> - povlačenje sredstava za kratkoročno zaduženje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693B3" w14:textId="523B93F8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i/>
                <w:iCs/>
                <w:color w:val="000000"/>
                <w:sz w:val="15"/>
                <w:szCs w:val="15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D136A" w14:textId="20CD1B17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i/>
                <w:iCs/>
                <w:color w:val="000000"/>
                <w:sz w:val="15"/>
                <w:szCs w:val="15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EBE18" w14:textId="5FFCA9DA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</w:tcPr>
          <w:p w14:paraId="407F90D6" w14:textId="79BC9E12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42DCB" w14:textId="0F9640DF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i/>
                <w:iCs/>
                <w:color w:val="000000"/>
                <w:sz w:val="15"/>
                <w:szCs w:val="15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DAC98" w14:textId="544D40A8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i/>
                <w:iCs/>
                <w:color w:val="000000"/>
                <w:sz w:val="15"/>
                <w:szCs w:val="15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33A21" w14:textId="138B43E0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i/>
                <w:iCs/>
                <w:color w:val="000000"/>
                <w:sz w:val="15"/>
                <w:szCs w:val="15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</w:tcPr>
          <w:p w14:paraId="3A29E7F1" w14:textId="5875C140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-</w:t>
            </w:r>
          </w:p>
        </w:tc>
      </w:tr>
      <w:tr w:rsidR="005E3AB3" w:rsidRPr="00514A44" w14:paraId="0E906459" w14:textId="77777777" w:rsidTr="009C0CC7">
        <w:trPr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0A8C2" w14:textId="555E3F05" w:rsidR="005E3AB3" w:rsidRPr="00514A44" w:rsidRDefault="005E3AB3" w:rsidP="005E3AB3">
            <w:pPr>
              <w:spacing w:after="0" w:line="240" w:lineRule="auto"/>
              <w:jc w:val="center"/>
              <w:rPr>
                <w:rFonts w:eastAsia="Times New Roman" w:cs="Arial"/>
                <w:sz w:val="17"/>
                <w:szCs w:val="17"/>
              </w:rPr>
            </w:pPr>
            <w:r w:rsidRPr="00514A44">
              <w:rPr>
                <w:rFonts w:eastAsia="Times New Roman" w:cs="Arial"/>
                <w:sz w:val="17"/>
                <w:szCs w:val="17"/>
              </w:rPr>
              <w:t>3.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6E8A1" w14:textId="226EA0CE" w:rsidR="005E3AB3" w:rsidRPr="00514A44" w:rsidRDefault="005E3AB3" w:rsidP="005E3AB3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eastAsia="Times New Roman" w:cs="Arial"/>
                <w:sz w:val="16"/>
                <w:szCs w:val="16"/>
              </w:rPr>
              <w:t>Ostali depoziti-povlačenje sredstava po depozitima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72D46" w14:textId="208016FE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30.688.780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0A688" w14:textId="42D8B40C" w:rsidR="005E3AB3" w:rsidRPr="00D32301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D32301">
              <w:rPr>
                <w:rFonts w:cs="Arial"/>
                <w:color w:val="000000"/>
                <w:sz w:val="15"/>
                <w:szCs w:val="15"/>
              </w:rPr>
              <w:t>144.895.083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1698D" w14:textId="50378589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197.399.000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</w:tcPr>
          <w:p w14:paraId="1DFB1E45" w14:textId="4AE4699B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124.327.621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4F197" w14:textId="3500E99B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i/>
                <w:iCs/>
                <w:color w:val="000000"/>
                <w:sz w:val="15"/>
                <w:szCs w:val="15"/>
              </w:rPr>
              <w:t>25.000.000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5145C" w14:textId="792D23BE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i/>
                <w:iCs/>
                <w:color w:val="000000"/>
                <w:sz w:val="15"/>
                <w:szCs w:val="15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AD37B" w14:textId="3A69D1C9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i/>
                <w:iCs/>
                <w:color w:val="000000"/>
                <w:sz w:val="15"/>
                <w:szCs w:val="15"/>
              </w:rPr>
              <w:t>53.000.000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</w:tcPr>
          <w:p w14:paraId="03AFE928" w14:textId="1BEF7F7E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26.000.000</w:t>
            </w:r>
          </w:p>
        </w:tc>
      </w:tr>
      <w:tr w:rsidR="005E3AB3" w:rsidRPr="00514A44" w14:paraId="09D03809" w14:textId="77777777" w:rsidTr="009C0CC7">
        <w:trPr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1391" w14:textId="0F66352F" w:rsidR="005E3AB3" w:rsidRPr="00514A44" w:rsidRDefault="005E3AB3" w:rsidP="005E3AB3">
            <w:pPr>
              <w:spacing w:after="0" w:line="240" w:lineRule="auto"/>
              <w:jc w:val="center"/>
              <w:rPr>
                <w:rFonts w:eastAsia="Times New Roman" w:cs="Arial"/>
                <w:sz w:val="17"/>
                <w:szCs w:val="17"/>
              </w:rPr>
            </w:pPr>
            <w:r w:rsidRPr="00514A44">
              <w:rPr>
                <w:rFonts w:eastAsia="Times New Roman" w:cs="Arial"/>
                <w:sz w:val="17"/>
                <w:szCs w:val="17"/>
              </w:rPr>
              <w:t>4.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67C1E" w14:textId="77777777" w:rsidR="005E3AB3" w:rsidRPr="00514A44" w:rsidRDefault="005E3AB3" w:rsidP="005E3AB3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eastAsia="Times New Roman" w:cs="Arial"/>
                <w:sz w:val="16"/>
                <w:szCs w:val="16"/>
              </w:rPr>
              <w:t>Uplate iz Proračuna Republike Hrvatske u osnivački kapital HBOR-a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4796" w14:textId="065E3D47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6.645.240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B4AA4" w14:textId="5BB2236C" w:rsidR="005E3AB3" w:rsidRPr="00D32301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D32301">
              <w:rPr>
                <w:rFonts w:cs="Arial"/>
                <w:color w:val="000000"/>
                <w:sz w:val="15"/>
                <w:szCs w:val="15"/>
              </w:rPr>
              <w:t>2.654.456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B46DF" w14:textId="1F0295E1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2.654.000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</w:tcPr>
          <w:p w14:paraId="7E1ADC48" w14:textId="15AE3340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3.984.565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1BF59" w14:textId="54BF2BB8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i/>
                <w:iCs/>
                <w:color w:val="000000"/>
                <w:sz w:val="15"/>
                <w:szCs w:val="15"/>
              </w:rPr>
              <w:t>3.000.000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6A9A5" w14:textId="39689940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i/>
                <w:iCs/>
                <w:color w:val="000000"/>
                <w:sz w:val="15"/>
                <w:szCs w:val="15"/>
              </w:rPr>
              <w:t>5.000.000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729DB" w14:textId="36E7D680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i/>
                <w:iCs/>
                <w:color w:val="000000"/>
                <w:sz w:val="15"/>
                <w:szCs w:val="15"/>
              </w:rPr>
              <w:t>5.000.000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</w:tcPr>
          <w:p w14:paraId="4A0DADC5" w14:textId="29F378F6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4.333.333</w:t>
            </w:r>
          </w:p>
        </w:tc>
      </w:tr>
      <w:tr w:rsidR="005E3AB3" w:rsidRPr="00514A44" w14:paraId="785C1838" w14:textId="77777777" w:rsidTr="009C0CC7">
        <w:trPr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601A" w14:textId="3A039144" w:rsidR="005E3AB3" w:rsidRPr="00514A44" w:rsidRDefault="005E3AB3" w:rsidP="005E3AB3">
            <w:pPr>
              <w:spacing w:after="0" w:line="240" w:lineRule="auto"/>
              <w:jc w:val="center"/>
              <w:rPr>
                <w:rFonts w:eastAsia="Times New Roman" w:cs="Arial"/>
                <w:sz w:val="17"/>
                <w:szCs w:val="17"/>
              </w:rPr>
            </w:pPr>
            <w:r w:rsidRPr="00514A44">
              <w:rPr>
                <w:rFonts w:eastAsia="Times New Roman" w:cs="Arial"/>
                <w:sz w:val="17"/>
                <w:szCs w:val="17"/>
              </w:rPr>
              <w:t>5.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D8D14" w14:textId="77777777" w:rsidR="005E3AB3" w:rsidRPr="00514A44" w:rsidRDefault="005E3AB3" w:rsidP="005E3AB3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eastAsia="Times New Roman" w:cs="Arial"/>
                <w:sz w:val="16"/>
                <w:szCs w:val="16"/>
              </w:rPr>
              <w:t xml:space="preserve">Ostale uplate iz proračuna RH 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A049F" w14:textId="7E23F883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9.502.693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FFEC2" w14:textId="1A465782" w:rsidR="005E3AB3" w:rsidRPr="00D32301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D32301">
              <w:rPr>
                <w:rFonts w:cs="Arial"/>
                <w:color w:val="000000"/>
                <w:sz w:val="15"/>
                <w:szCs w:val="15"/>
              </w:rPr>
              <w:t>25.084.611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D3EC2" w14:textId="4E6842C9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8.345.000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</w:tcPr>
          <w:p w14:paraId="159D5519" w14:textId="70F52F5E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14.310.768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65189" w14:textId="1E61EA76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i/>
                <w:iCs/>
                <w:color w:val="000000"/>
                <w:sz w:val="15"/>
                <w:szCs w:val="15"/>
              </w:rPr>
              <w:t>10.000.000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2CA1C" w14:textId="338BA78C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i/>
                <w:iCs/>
                <w:color w:val="000000"/>
                <w:sz w:val="15"/>
                <w:szCs w:val="15"/>
              </w:rPr>
              <w:t>10.000.000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0901A" w14:textId="23B6176C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i/>
                <w:iCs/>
                <w:color w:val="000000"/>
                <w:sz w:val="15"/>
                <w:szCs w:val="15"/>
              </w:rPr>
              <w:t>10.000.000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</w:tcPr>
          <w:p w14:paraId="10752012" w14:textId="13E1A382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10.000.000</w:t>
            </w:r>
          </w:p>
        </w:tc>
      </w:tr>
      <w:tr w:rsidR="005E3AB3" w:rsidRPr="00514A44" w14:paraId="38A29F96" w14:textId="77777777" w:rsidTr="009C0CC7">
        <w:trPr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19B4" w14:textId="39803C12" w:rsidR="005E3AB3" w:rsidRPr="00514A44" w:rsidRDefault="005E3AB3" w:rsidP="005E3AB3">
            <w:pPr>
              <w:spacing w:after="0" w:line="240" w:lineRule="auto"/>
              <w:jc w:val="center"/>
              <w:rPr>
                <w:rFonts w:eastAsia="Times New Roman" w:cs="Arial"/>
                <w:sz w:val="17"/>
                <w:szCs w:val="17"/>
              </w:rPr>
            </w:pPr>
            <w:r w:rsidRPr="00514A44">
              <w:rPr>
                <w:rFonts w:eastAsia="Times New Roman" w:cs="Arial"/>
                <w:sz w:val="17"/>
                <w:szCs w:val="17"/>
              </w:rPr>
              <w:t>6.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8BD86" w14:textId="77777777" w:rsidR="005E3AB3" w:rsidRPr="00514A44" w:rsidRDefault="005E3AB3" w:rsidP="005E3AB3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eastAsia="Times New Roman" w:cs="Arial"/>
                <w:sz w:val="16"/>
                <w:szCs w:val="16"/>
              </w:rPr>
              <w:t>Garantni fond osiguranja izvoza – mandatni posao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B7AD2" w14:textId="6ECB6C48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59.794.133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3BAE4" w14:textId="5F32213B" w:rsidR="005E3AB3" w:rsidRPr="00D32301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D32301">
              <w:rPr>
                <w:rFonts w:cs="Arial"/>
                <w:color w:val="000000"/>
                <w:sz w:val="15"/>
                <w:szCs w:val="15"/>
              </w:rPr>
              <w:t>84.806.590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5A667" w14:textId="216EF0C0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96.260.000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</w:tcPr>
          <w:p w14:paraId="7D3D94A2" w14:textId="3C50AB8D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80.286.908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BF52D" w14:textId="25FDA377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i/>
                <w:iCs/>
                <w:color w:val="000000"/>
                <w:sz w:val="15"/>
                <w:szCs w:val="15"/>
              </w:rPr>
              <w:t>66.804.000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98F99" w14:textId="34D93BA7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i/>
                <w:iCs/>
                <w:color w:val="000000"/>
                <w:sz w:val="15"/>
                <w:szCs w:val="15"/>
              </w:rPr>
              <w:t>59.933.000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6A8AA" w14:textId="7A46EB26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i/>
                <w:iCs/>
                <w:color w:val="000000"/>
                <w:sz w:val="15"/>
                <w:szCs w:val="15"/>
              </w:rPr>
              <w:t>60.778.000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</w:tcPr>
          <w:p w14:paraId="6701518E" w14:textId="0CB92A38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62.505.000</w:t>
            </w:r>
          </w:p>
        </w:tc>
      </w:tr>
      <w:tr w:rsidR="005E3AB3" w:rsidRPr="00514A44" w14:paraId="4A359BD1" w14:textId="77777777" w:rsidTr="009C0CC7">
        <w:trPr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0FFA7" w14:textId="50AD3F24" w:rsidR="005E3AB3" w:rsidRPr="00514A44" w:rsidRDefault="005E3AB3" w:rsidP="005E3AB3">
            <w:pPr>
              <w:spacing w:after="0" w:line="240" w:lineRule="auto"/>
              <w:jc w:val="center"/>
              <w:rPr>
                <w:rFonts w:eastAsia="Times New Roman" w:cs="Arial"/>
                <w:sz w:val="17"/>
                <w:szCs w:val="17"/>
              </w:rPr>
            </w:pPr>
            <w:r w:rsidRPr="00514A44">
              <w:rPr>
                <w:rFonts w:eastAsia="Times New Roman" w:cs="Arial"/>
                <w:sz w:val="17"/>
                <w:szCs w:val="17"/>
              </w:rPr>
              <w:t>7.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C926B" w14:textId="77777777" w:rsidR="005E3AB3" w:rsidRPr="00514A44" w:rsidRDefault="005E3AB3" w:rsidP="005E3AB3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eastAsia="Times New Roman" w:cs="Arial"/>
                <w:sz w:val="16"/>
                <w:szCs w:val="16"/>
              </w:rPr>
              <w:t>Ulaganje u FGS - mandatni posao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9EA29" w14:textId="3B42E857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23.828.767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9182F" w14:textId="07DEA1F2" w:rsidR="005E3AB3" w:rsidRPr="00D32301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D32301">
              <w:rPr>
                <w:rFonts w:cs="Arial"/>
                <w:color w:val="000000"/>
                <w:sz w:val="15"/>
                <w:szCs w:val="15"/>
              </w:rPr>
              <w:t>1.980.934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1B57D" w14:textId="5BFEBE5B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2.799.000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</w:tcPr>
          <w:p w14:paraId="3B9C6456" w14:textId="00AEC472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9.536.234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20EAE" w14:textId="3D13F884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i/>
                <w:iCs/>
                <w:color w:val="000000"/>
                <w:sz w:val="15"/>
                <w:szCs w:val="15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A2871" w14:textId="168D21E4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i/>
                <w:iCs/>
                <w:color w:val="000000"/>
                <w:sz w:val="15"/>
                <w:szCs w:val="15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E3B04" w14:textId="02412513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i/>
                <w:iCs/>
                <w:color w:val="000000"/>
                <w:sz w:val="15"/>
                <w:szCs w:val="15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</w:tcPr>
          <w:p w14:paraId="7B1AB243" w14:textId="28E945CC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-</w:t>
            </w:r>
          </w:p>
        </w:tc>
      </w:tr>
      <w:tr w:rsidR="005E3AB3" w:rsidRPr="00514A44" w14:paraId="2E960B19" w14:textId="77777777" w:rsidTr="009C0CC7">
        <w:trPr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D4053" w14:textId="77DEE13F" w:rsidR="005E3AB3" w:rsidRPr="00514A44" w:rsidRDefault="005E3AB3" w:rsidP="005E3AB3">
            <w:pPr>
              <w:spacing w:after="0" w:line="240" w:lineRule="auto"/>
              <w:jc w:val="center"/>
              <w:rPr>
                <w:rFonts w:eastAsia="Times New Roman" w:cs="Arial"/>
                <w:sz w:val="17"/>
                <w:szCs w:val="17"/>
              </w:rPr>
            </w:pPr>
            <w:r w:rsidRPr="00514A44">
              <w:rPr>
                <w:rFonts w:eastAsia="Times New Roman" w:cs="Arial"/>
                <w:sz w:val="17"/>
                <w:szCs w:val="17"/>
              </w:rPr>
              <w:t>8.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9930F" w14:textId="4178E27F" w:rsidR="005E3AB3" w:rsidRPr="00514A44" w:rsidRDefault="005E3AB3" w:rsidP="005E3AB3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eastAsia="Times New Roman" w:cs="Arial"/>
                <w:sz w:val="16"/>
                <w:szCs w:val="16"/>
              </w:rPr>
              <w:t>Ulaganje u investicijski fond Inicijative triju mora-mandatni posao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B774C" w14:textId="4DBA4099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7.299.264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C7812" w14:textId="5B8A6104" w:rsidR="005E3AB3" w:rsidRPr="00D32301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D32301">
              <w:rPr>
                <w:rFonts w:cs="Arial"/>
                <w:color w:val="000000"/>
                <w:sz w:val="15"/>
                <w:szCs w:val="15"/>
              </w:rPr>
              <w:t>3.614.971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74618" w14:textId="75061A9E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5.138.000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</w:tcPr>
          <w:p w14:paraId="2438F4B7" w14:textId="2B7755B2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5.350.745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0DCD5" w14:textId="147501B8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i/>
                <w:iCs/>
                <w:color w:val="000000"/>
                <w:sz w:val="15"/>
                <w:szCs w:val="15"/>
              </w:rPr>
              <w:t>2.800.000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4B4BD" w14:textId="24490BFF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i/>
                <w:iCs/>
                <w:color w:val="000000"/>
                <w:sz w:val="15"/>
                <w:szCs w:val="15"/>
              </w:rPr>
              <w:t>100.000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69CF0" w14:textId="2E512657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i/>
                <w:iCs/>
                <w:color w:val="000000"/>
                <w:sz w:val="15"/>
                <w:szCs w:val="15"/>
              </w:rPr>
              <w:t>100.000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</w:tcPr>
          <w:p w14:paraId="4D7F7AC7" w14:textId="0A645DBD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1.000.000</w:t>
            </w:r>
          </w:p>
        </w:tc>
      </w:tr>
      <w:tr w:rsidR="005E3AB3" w:rsidRPr="00514A44" w14:paraId="312D4C7F" w14:textId="77777777" w:rsidTr="009C0CC7">
        <w:trPr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330BB" w14:textId="6F5D359A" w:rsidR="005E3AB3" w:rsidRPr="00514A44" w:rsidRDefault="005E3AB3" w:rsidP="005E3AB3">
            <w:pPr>
              <w:spacing w:after="0" w:line="240" w:lineRule="auto"/>
              <w:jc w:val="center"/>
              <w:rPr>
                <w:rFonts w:eastAsia="Times New Roman" w:cs="Arial"/>
                <w:sz w:val="17"/>
                <w:szCs w:val="17"/>
              </w:rPr>
            </w:pPr>
            <w:r w:rsidRPr="00514A44">
              <w:rPr>
                <w:rFonts w:eastAsia="Times New Roman" w:cs="Arial"/>
                <w:sz w:val="17"/>
                <w:szCs w:val="17"/>
              </w:rPr>
              <w:t>9.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12296" w14:textId="7CC16C7D" w:rsidR="005E3AB3" w:rsidRPr="00514A44" w:rsidRDefault="005E3AB3" w:rsidP="005E3AB3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eastAsia="Times New Roman" w:cs="Arial"/>
                <w:sz w:val="16"/>
                <w:szCs w:val="16"/>
              </w:rPr>
              <w:t>Financijski instrumenti - NPOO- mandatni posao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8DE95" w14:textId="0F30EB43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FF157" w14:textId="2E9B1F62" w:rsidR="005E3AB3" w:rsidRPr="00D32301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D32301">
              <w:rPr>
                <w:rFonts w:cs="Arial"/>
                <w:color w:val="000000"/>
                <w:sz w:val="15"/>
                <w:szCs w:val="15"/>
              </w:rPr>
              <w:t>56.407.193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A7013" w14:textId="2DDCD9D6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55.836.000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</w:tcPr>
          <w:p w14:paraId="69DA37BB" w14:textId="777A2395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37.414.398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8EEED" w14:textId="5AB41D60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i/>
                <w:iCs/>
                <w:color w:val="000000"/>
                <w:sz w:val="15"/>
                <w:szCs w:val="15"/>
              </w:rPr>
              <w:t>48.241.000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2ECD0" w14:textId="54529D6F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i/>
                <w:iCs/>
                <w:color w:val="000000"/>
                <w:sz w:val="15"/>
                <w:szCs w:val="15"/>
              </w:rPr>
              <w:t>48.241.000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3C4FF" w14:textId="2C86FBF4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i/>
                <w:iCs/>
                <w:color w:val="000000"/>
                <w:sz w:val="15"/>
                <w:szCs w:val="15"/>
              </w:rPr>
              <w:t>28.332.000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</w:tcPr>
          <w:p w14:paraId="137957E3" w14:textId="33E04890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41.604.667</w:t>
            </w:r>
          </w:p>
        </w:tc>
      </w:tr>
      <w:tr w:rsidR="005E3AB3" w:rsidRPr="00514A44" w14:paraId="369792C0" w14:textId="77777777" w:rsidTr="009C0CC7">
        <w:trPr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774ED" w14:textId="281DF884" w:rsidR="005E3AB3" w:rsidRPr="00514A44" w:rsidRDefault="005E3AB3" w:rsidP="005E3AB3">
            <w:pPr>
              <w:spacing w:after="0" w:line="240" w:lineRule="auto"/>
              <w:jc w:val="center"/>
              <w:rPr>
                <w:rFonts w:eastAsia="Times New Roman" w:cs="Arial"/>
                <w:sz w:val="17"/>
                <w:szCs w:val="17"/>
              </w:rPr>
            </w:pPr>
            <w:r w:rsidRPr="00514A44">
              <w:rPr>
                <w:rFonts w:eastAsia="Times New Roman" w:cs="Arial"/>
                <w:sz w:val="17"/>
                <w:szCs w:val="17"/>
              </w:rPr>
              <w:t>10.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D4CF7" w14:textId="77777777" w:rsidR="005E3AB3" w:rsidRPr="00514A44" w:rsidRDefault="005E3AB3" w:rsidP="005E3AB3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514A44">
              <w:rPr>
                <w:rFonts w:eastAsia="Times New Roman" w:cs="Arial"/>
                <w:sz w:val="16"/>
                <w:szCs w:val="16"/>
              </w:rPr>
              <w:t>Ostali plasmani i obračunske kategorije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E614B" w14:textId="34FF3198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26.183.175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7519D" w14:textId="17265730" w:rsidR="005E3AB3" w:rsidRPr="00D32301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D32301">
              <w:rPr>
                <w:rFonts w:cs="Arial"/>
                <w:color w:val="000000"/>
                <w:sz w:val="15"/>
                <w:szCs w:val="15"/>
              </w:rPr>
              <w:t>21.164.313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2C5EF" w14:textId="1AE38673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19.798.000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</w:tcPr>
          <w:p w14:paraId="3DA029C1" w14:textId="4A9CCACC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22.381.829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EB957" w14:textId="49B33F68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i/>
                <w:iCs/>
                <w:color w:val="000000"/>
                <w:sz w:val="15"/>
                <w:szCs w:val="15"/>
              </w:rPr>
              <w:t>5.512.000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90B7B" w14:textId="5EF3894C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i/>
                <w:iCs/>
                <w:color w:val="000000"/>
                <w:sz w:val="15"/>
                <w:szCs w:val="15"/>
              </w:rPr>
              <w:t>5.515.000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A5576" w14:textId="1F1327E5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i/>
                <w:iCs/>
                <w:color w:val="000000"/>
                <w:sz w:val="15"/>
                <w:szCs w:val="15"/>
              </w:rPr>
              <w:t>5.515.000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</w:tcPr>
          <w:p w14:paraId="723D594B" w14:textId="170D172D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sz w:val="15"/>
                <w:szCs w:val="15"/>
              </w:rPr>
            </w:pPr>
            <w:r w:rsidRPr="00514A44">
              <w:rPr>
                <w:rFonts w:cs="Arial"/>
                <w:color w:val="000000"/>
                <w:sz w:val="15"/>
                <w:szCs w:val="15"/>
              </w:rPr>
              <w:t>5.514.000</w:t>
            </w:r>
          </w:p>
        </w:tc>
      </w:tr>
      <w:tr w:rsidR="00B94415" w:rsidRPr="00514A44" w14:paraId="7800949F" w14:textId="77777777" w:rsidTr="009C0CC7">
        <w:trPr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6FE59701" w14:textId="77777777" w:rsidR="005E3AB3" w:rsidRPr="00514A44" w:rsidRDefault="005E3AB3" w:rsidP="005E3AB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514A44">
              <w:rPr>
                <w:rFonts w:eastAsia="Times New Roman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14:paraId="55DEF799" w14:textId="77777777" w:rsidR="005E3AB3" w:rsidRPr="00514A44" w:rsidRDefault="005E3AB3" w:rsidP="005E3AB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UKUPNO (III)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65CD9AB2" w14:textId="53D2C2B9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b/>
                <w:sz w:val="15"/>
                <w:szCs w:val="15"/>
              </w:rPr>
            </w:pPr>
            <w:r w:rsidRPr="00514A44">
              <w:rPr>
                <w:rFonts w:cs="Arial"/>
                <w:b/>
                <w:bCs/>
                <w:color w:val="000000"/>
                <w:sz w:val="15"/>
                <w:szCs w:val="15"/>
              </w:rPr>
              <w:t>1.219.910.255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1BB49102" w14:textId="6F029390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514A44">
              <w:rPr>
                <w:rFonts w:cs="Arial"/>
                <w:b/>
                <w:bCs/>
                <w:color w:val="000000"/>
                <w:sz w:val="15"/>
                <w:szCs w:val="15"/>
              </w:rPr>
              <w:t>1.329.290.952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792BB43E" w14:textId="7A07D57E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 w:rsidRPr="00514A44">
              <w:rPr>
                <w:rFonts w:cs="Arial"/>
                <w:b/>
                <w:bCs/>
                <w:color w:val="000000"/>
                <w:sz w:val="15"/>
                <w:szCs w:val="15"/>
              </w:rPr>
              <w:t>1.804.713.000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</w:tcPr>
          <w:p w14:paraId="1CAEA969" w14:textId="7B15326A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514A44">
              <w:rPr>
                <w:rFonts w:cs="Arial"/>
                <w:b/>
                <w:bCs/>
                <w:color w:val="000000"/>
                <w:sz w:val="15"/>
                <w:szCs w:val="15"/>
              </w:rPr>
              <w:t>1.451.304.736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73A5D06C" w14:textId="1115AF14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b/>
                <w:sz w:val="15"/>
                <w:szCs w:val="15"/>
              </w:rPr>
            </w:pPr>
            <w:r w:rsidRPr="00514A44">
              <w:rPr>
                <w:rFonts w:cs="Arial"/>
                <w:b/>
                <w:bCs/>
                <w:color w:val="000000"/>
                <w:sz w:val="15"/>
                <w:szCs w:val="15"/>
              </w:rPr>
              <w:t>1.430.632.000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3B39B0AD" w14:textId="450EB2D4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b/>
                <w:sz w:val="15"/>
                <w:szCs w:val="15"/>
              </w:rPr>
            </w:pPr>
            <w:r w:rsidRPr="00514A44">
              <w:rPr>
                <w:rFonts w:cs="Arial"/>
                <w:b/>
                <w:bCs/>
                <w:color w:val="000000"/>
                <w:sz w:val="15"/>
                <w:szCs w:val="15"/>
              </w:rPr>
              <w:t>1.248.032.000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2F3BB6FD" w14:textId="7A0A0862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b/>
                <w:sz w:val="15"/>
                <w:szCs w:val="15"/>
              </w:rPr>
            </w:pPr>
            <w:r w:rsidRPr="00514A44">
              <w:rPr>
                <w:rFonts w:cs="Arial"/>
                <w:b/>
                <w:bCs/>
                <w:color w:val="000000"/>
                <w:sz w:val="15"/>
                <w:szCs w:val="15"/>
              </w:rPr>
              <w:t>1.346.113.000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</w:tcPr>
          <w:p w14:paraId="20E7CF18" w14:textId="4204F826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 w:rsidRPr="00514A44">
              <w:rPr>
                <w:rFonts w:cs="Arial"/>
                <w:b/>
                <w:bCs/>
                <w:color w:val="000000"/>
                <w:sz w:val="15"/>
                <w:szCs w:val="15"/>
              </w:rPr>
              <w:t>1.341.592.333</w:t>
            </w:r>
          </w:p>
        </w:tc>
      </w:tr>
      <w:tr w:rsidR="00B94415" w:rsidRPr="00514A44" w14:paraId="068B3E52" w14:textId="77777777" w:rsidTr="009C0CC7">
        <w:trPr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49528DD9" w14:textId="77777777" w:rsidR="005E3AB3" w:rsidRPr="00514A44" w:rsidRDefault="005E3AB3" w:rsidP="005E3A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514A44">
              <w:rPr>
                <w:rFonts w:eastAsia="Times New Roman" w:cs="Arial"/>
                <w:color w:val="000000"/>
                <w:sz w:val="17"/>
                <w:szCs w:val="17"/>
              </w:rPr>
              <w:t>IV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14:paraId="7F18A1DC" w14:textId="77777777" w:rsidR="005E3AB3" w:rsidRPr="00514A44" w:rsidRDefault="005E3AB3" w:rsidP="005E3AB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RAZLIKA IZVORA I PLASMANA (III-II)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6F066191" w14:textId="2840C0CA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b/>
                <w:sz w:val="15"/>
                <w:szCs w:val="15"/>
              </w:rPr>
            </w:pPr>
            <w:r w:rsidRPr="00514A44">
              <w:rPr>
                <w:rFonts w:cs="Arial"/>
                <w:b/>
                <w:bCs/>
                <w:color w:val="000000"/>
                <w:sz w:val="15"/>
                <w:szCs w:val="15"/>
              </w:rPr>
              <w:t>37.559.367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62D9E033" w14:textId="46E526FD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514A44">
              <w:rPr>
                <w:rFonts w:cs="Arial"/>
                <w:b/>
                <w:bCs/>
                <w:color w:val="000000"/>
                <w:sz w:val="15"/>
                <w:szCs w:val="15"/>
              </w:rPr>
              <w:t>(125.089.030)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000000" w:fill="D6DCE4"/>
            <w:noWrap/>
            <w:vAlign w:val="center"/>
          </w:tcPr>
          <w:p w14:paraId="5B7AED5A" w14:textId="0351C1F4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 w:rsidRPr="00514A44">
              <w:rPr>
                <w:rFonts w:cs="Arial"/>
                <w:b/>
                <w:bCs/>
                <w:color w:val="000000"/>
                <w:sz w:val="15"/>
                <w:szCs w:val="15"/>
              </w:rPr>
              <w:t>(17.814.886)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000000" w:fill="DBE5F1"/>
            <w:noWrap/>
            <w:vAlign w:val="center"/>
          </w:tcPr>
          <w:p w14:paraId="15F073F5" w14:textId="748E823E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514A44">
              <w:rPr>
                <w:rFonts w:cs="Arial"/>
                <w:b/>
                <w:bCs/>
                <w:color w:val="000000"/>
                <w:sz w:val="15"/>
                <w:szCs w:val="15"/>
              </w:rPr>
              <w:t>(35.114.850)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000000" w:fill="D6DCE4"/>
            <w:noWrap/>
            <w:vAlign w:val="center"/>
          </w:tcPr>
          <w:p w14:paraId="449D44D0" w14:textId="0DD2C041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b/>
                <w:sz w:val="15"/>
                <w:szCs w:val="15"/>
              </w:rPr>
            </w:pPr>
            <w:r w:rsidRPr="00514A44">
              <w:rPr>
                <w:rFonts w:cs="Arial"/>
                <w:b/>
                <w:bCs/>
                <w:color w:val="000000"/>
                <w:sz w:val="15"/>
                <w:szCs w:val="15"/>
              </w:rPr>
              <w:t>1.968.000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6065ABFD" w14:textId="74C391DB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b/>
                <w:sz w:val="15"/>
                <w:szCs w:val="15"/>
              </w:rPr>
            </w:pPr>
            <w:r w:rsidRPr="00514A44">
              <w:rPr>
                <w:rFonts w:cs="Arial"/>
                <w:b/>
                <w:bCs/>
                <w:color w:val="000000"/>
                <w:sz w:val="15"/>
                <w:szCs w:val="15"/>
              </w:rPr>
              <w:t>(81.563.000)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3783ED3D" w14:textId="73A7FBC7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b/>
                <w:sz w:val="15"/>
                <w:szCs w:val="15"/>
              </w:rPr>
            </w:pPr>
            <w:r w:rsidRPr="00514A44">
              <w:rPr>
                <w:rFonts w:cs="Arial"/>
                <w:b/>
                <w:bCs/>
                <w:color w:val="000000"/>
                <w:sz w:val="15"/>
                <w:szCs w:val="15"/>
              </w:rPr>
              <w:t>54.661.000</w:t>
            </w:r>
          </w:p>
        </w:tc>
        <w:tc>
          <w:tcPr>
            <w:tcW w:w="1303" w:type="dxa"/>
            <w:tcBorders>
              <w:top w:val="nil"/>
              <w:left w:val="nil"/>
              <w:right w:val="single" w:sz="4" w:space="0" w:color="auto"/>
            </w:tcBorders>
            <w:shd w:val="clear" w:color="000000" w:fill="DBE5F1"/>
            <w:noWrap/>
            <w:vAlign w:val="center"/>
          </w:tcPr>
          <w:p w14:paraId="5B311F51" w14:textId="0F7C25E6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 w:rsidRPr="00514A44">
              <w:rPr>
                <w:rFonts w:cs="Arial"/>
                <w:b/>
                <w:bCs/>
                <w:color w:val="000000"/>
                <w:sz w:val="15"/>
                <w:szCs w:val="15"/>
              </w:rPr>
              <w:t>(8.311.333)</w:t>
            </w:r>
          </w:p>
        </w:tc>
      </w:tr>
      <w:tr w:rsidR="00B94415" w:rsidRPr="000B4F21" w14:paraId="6C2326ED" w14:textId="77777777" w:rsidTr="009C0CC7">
        <w:trPr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26E285BD" w14:textId="77777777" w:rsidR="005E3AB3" w:rsidRPr="00514A44" w:rsidRDefault="005E3AB3" w:rsidP="005E3A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514A44">
              <w:rPr>
                <w:rFonts w:eastAsia="Times New Roman" w:cs="Arial"/>
                <w:color w:val="000000"/>
                <w:sz w:val="17"/>
                <w:szCs w:val="17"/>
              </w:rPr>
              <w:t>V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vAlign w:val="center"/>
            <w:hideMark/>
          </w:tcPr>
          <w:p w14:paraId="5B31751B" w14:textId="6C5EF042" w:rsidR="005E3AB3" w:rsidRPr="00514A44" w:rsidRDefault="005E3AB3" w:rsidP="005E3AB3">
            <w:pPr>
              <w:spacing w:after="0" w:line="240" w:lineRule="auto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514A44">
              <w:rPr>
                <w:rFonts w:eastAsia="Times New Roman" w:cs="Arial"/>
                <w:b/>
                <w:bCs/>
                <w:sz w:val="17"/>
                <w:szCs w:val="17"/>
              </w:rPr>
              <w:t>RASPOLOŽIVA SREDSTVA NA KRAJU RAZDOBLJA (I +IA+ IV)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136677A9" w14:textId="0621BFB7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b/>
                <w:sz w:val="15"/>
                <w:szCs w:val="15"/>
              </w:rPr>
            </w:pPr>
            <w:r w:rsidRPr="00514A44">
              <w:rPr>
                <w:rFonts w:cs="Arial"/>
                <w:b/>
                <w:bCs/>
                <w:color w:val="000000"/>
                <w:sz w:val="15"/>
                <w:szCs w:val="15"/>
              </w:rPr>
              <w:t>581.286.899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center"/>
          </w:tcPr>
          <w:p w14:paraId="5D09429E" w14:textId="5E10E8E0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514A44">
              <w:rPr>
                <w:rFonts w:cs="Arial"/>
                <w:b/>
                <w:bCs/>
                <w:color w:val="000000"/>
                <w:sz w:val="15"/>
                <w:szCs w:val="15"/>
              </w:rPr>
              <w:t>456.739.886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center"/>
          </w:tcPr>
          <w:p w14:paraId="474D9864" w14:textId="1E0D67CC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 w:rsidRPr="00514A44">
              <w:rPr>
                <w:rFonts w:cs="Arial"/>
                <w:b/>
                <w:bCs/>
                <w:color w:val="000000"/>
                <w:sz w:val="15"/>
                <w:szCs w:val="15"/>
              </w:rPr>
              <w:t>438.925.000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</w:tcPr>
          <w:p w14:paraId="06DC0AE0" w14:textId="0DAC74F5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514A44">
              <w:rPr>
                <w:rFonts w:cs="Arial"/>
                <w:b/>
                <w:bCs/>
                <w:color w:val="000000"/>
                <w:sz w:val="15"/>
                <w:szCs w:val="15"/>
              </w:rPr>
              <w:t>492.317.262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center"/>
          </w:tcPr>
          <w:p w14:paraId="4299DEFC" w14:textId="1D3930CD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b/>
                <w:sz w:val="15"/>
                <w:szCs w:val="15"/>
              </w:rPr>
            </w:pPr>
            <w:r w:rsidRPr="00514A44">
              <w:rPr>
                <w:rFonts w:cs="Arial"/>
                <w:b/>
                <w:bCs/>
                <w:color w:val="000000"/>
                <w:sz w:val="15"/>
                <w:szCs w:val="15"/>
              </w:rPr>
              <w:t>440.893.000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center"/>
          </w:tcPr>
          <w:p w14:paraId="240C3873" w14:textId="688E4FA9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b/>
                <w:sz w:val="15"/>
                <w:szCs w:val="15"/>
              </w:rPr>
            </w:pPr>
            <w:r w:rsidRPr="00514A44">
              <w:rPr>
                <w:rFonts w:cs="Arial"/>
                <w:b/>
                <w:bCs/>
                <w:color w:val="000000"/>
                <w:sz w:val="15"/>
                <w:szCs w:val="15"/>
              </w:rPr>
              <w:t>359.330.000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center"/>
          </w:tcPr>
          <w:p w14:paraId="03DE5186" w14:textId="3D8B7A21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b/>
                <w:sz w:val="15"/>
                <w:szCs w:val="15"/>
              </w:rPr>
            </w:pPr>
            <w:r w:rsidRPr="00514A44">
              <w:rPr>
                <w:rFonts w:cs="Arial"/>
                <w:b/>
                <w:bCs/>
                <w:color w:val="000000"/>
                <w:sz w:val="15"/>
                <w:szCs w:val="15"/>
              </w:rPr>
              <w:t>413.991.000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14:paraId="02EA2892" w14:textId="213DEE28" w:rsidR="005E3AB3" w:rsidRPr="00514A44" w:rsidRDefault="005E3AB3" w:rsidP="005E3AB3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 w:rsidRPr="00514A44">
              <w:rPr>
                <w:rFonts w:cs="Arial"/>
                <w:b/>
                <w:bCs/>
                <w:color w:val="000000"/>
                <w:sz w:val="15"/>
                <w:szCs w:val="15"/>
              </w:rPr>
              <w:t>404.738.000</w:t>
            </w:r>
          </w:p>
        </w:tc>
      </w:tr>
    </w:tbl>
    <w:p w14:paraId="642CF3B4" w14:textId="56EFD64D" w:rsidR="001653E9" w:rsidRDefault="001653E9" w:rsidP="001653E9">
      <w:pPr>
        <w:pStyle w:val="ListParagraph"/>
        <w:tabs>
          <w:tab w:val="left" w:pos="-720"/>
          <w:tab w:val="left" w:pos="426"/>
        </w:tabs>
        <w:suppressAutoHyphens/>
        <w:spacing w:after="0" w:line="240" w:lineRule="auto"/>
        <w:ind w:left="284" w:hanging="284"/>
        <w:jc w:val="both"/>
        <w:rPr>
          <w:rFonts w:eastAsia="Times New Roman" w:cs="Arial"/>
          <w:sz w:val="16"/>
          <w:szCs w:val="16"/>
        </w:rPr>
      </w:pPr>
      <w:r w:rsidRPr="009B45AB">
        <w:rPr>
          <w:rFonts w:eastAsia="Times New Roman" w:cs="Arial"/>
          <w:sz w:val="16"/>
          <w:szCs w:val="16"/>
        </w:rPr>
        <w:t xml:space="preserve">*Iznosi u </w:t>
      </w:r>
      <w:r>
        <w:rPr>
          <w:rFonts w:eastAsia="Times New Roman" w:cs="Arial"/>
          <w:sz w:val="16"/>
          <w:szCs w:val="16"/>
        </w:rPr>
        <w:t>Izvještaju o novčanom toku – direktna metoda</w:t>
      </w:r>
      <w:r w:rsidRPr="009B45AB">
        <w:rPr>
          <w:rFonts w:eastAsia="Times New Roman" w:cs="Arial"/>
          <w:sz w:val="16"/>
          <w:szCs w:val="16"/>
        </w:rPr>
        <w:t xml:space="preserve"> </w:t>
      </w:r>
      <w:r>
        <w:rPr>
          <w:rFonts w:eastAsia="Times New Roman" w:cs="Arial"/>
          <w:sz w:val="16"/>
          <w:szCs w:val="16"/>
        </w:rPr>
        <w:t>preračunati</w:t>
      </w:r>
      <w:r w:rsidRPr="009B45AB">
        <w:rPr>
          <w:rFonts w:eastAsia="Times New Roman" w:cs="Arial"/>
          <w:sz w:val="16"/>
          <w:szCs w:val="16"/>
        </w:rPr>
        <w:t xml:space="preserve"> su iz valute mjerenja </w:t>
      </w:r>
      <w:r>
        <w:rPr>
          <w:rFonts w:eastAsia="Times New Roman" w:cs="Arial"/>
          <w:sz w:val="16"/>
          <w:szCs w:val="16"/>
        </w:rPr>
        <w:t>(</w:t>
      </w:r>
      <w:r w:rsidRPr="009B45AB">
        <w:rPr>
          <w:rFonts w:eastAsia="Times New Roman" w:cs="Arial"/>
          <w:sz w:val="16"/>
          <w:szCs w:val="16"/>
        </w:rPr>
        <w:t>kuna</w:t>
      </w:r>
      <w:r>
        <w:rPr>
          <w:rFonts w:eastAsia="Times New Roman" w:cs="Arial"/>
          <w:sz w:val="16"/>
          <w:szCs w:val="16"/>
        </w:rPr>
        <w:t>)</w:t>
      </w:r>
      <w:r w:rsidRPr="009B45AB">
        <w:rPr>
          <w:rFonts w:eastAsia="Times New Roman" w:cs="Arial"/>
          <w:sz w:val="16"/>
          <w:szCs w:val="16"/>
        </w:rPr>
        <w:t xml:space="preserve"> u euro koristeći prosječne tečajeve u 2021. godini (1 EUR=7,524183 HRK) </w:t>
      </w:r>
    </w:p>
    <w:p w14:paraId="06F86AF2" w14:textId="3958131E" w:rsidR="001653E9" w:rsidRPr="009B45AB" w:rsidRDefault="001653E9" w:rsidP="001653E9">
      <w:pPr>
        <w:pStyle w:val="ListParagraph"/>
        <w:tabs>
          <w:tab w:val="left" w:pos="-720"/>
          <w:tab w:val="left" w:pos="426"/>
        </w:tabs>
        <w:suppressAutoHyphens/>
        <w:spacing w:after="0" w:line="240" w:lineRule="auto"/>
        <w:ind w:left="0"/>
        <w:jc w:val="both"/>
        <w:rPr>
          <w:rFonts w:eastAsia="Times New Roman" w:cs="Arial"/>
          <w:sz w:val="16"/>
          <w:szCs w:val="16"/>
        </w:rPr>
        <w:sectPr w:rsidR="001653E9" w:rsidRPr="009B45AB" w:rsidSect="00A21432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  <w:r>
        <w:rPr>
          <w:rFonts w:eastAsia="Times New Roman" w:cs="Arial"/>
          <w:sz w:val="16"/>
          <w:szCs w:val="16"/>
        </w:rPr>
        <w:t>** Iznosi u Izvještaju o novčanom toku – direktna metoda</w:t>
      </w:r>
      <w:r w:rsidRPr="009B45AB">
        <w:rPr>
          <w:rFonts w:eastAsia="Times New Roman" w:cs="Arial"/>
          <w:sz w:val="16"/>
          <w:szCs w:val="16"/>
        </w:rPr>
        <w:t xml:space="preserve"> </w:t>
      </w:r>
      <w:r>
        <w:rPr>
          <w:rFonts w:eastAsia="Times New Roman" w:cs="Arial"/>
          <w:sz w:val="16"/>
          <w:szCs w:val="16"/>
        </w:rPr>
        <w:t>preračunati su iz valute mjerenja (kuna) u euro koristeći fiksni tečaj konverzije kune u euro ( 1 EUR=7,53450 HRK).</w:t>
      </w:r>
    </w:p>
    <w:p w14:paraId="642AFA51" w14:textId="3C0614E9" w:rsidR="00C92A32" w:rsidRPr="005504D6" w:rsidRDefault="00C27A51" w:rsidP="002F0C1D">
      <w:pPr>
        <w:spacing w:after="0" w:line="240" w:lineRule="auto"/>
        <w:jc w:val="both"/>
        <w:rPr>
          <w:rFonts w:cs="Arial"/>
          <w:b/>
          <w:spacing w:val="-3"/>
          <w:sz w:val="20"/>
        </w:rPr>
      </w:pPr>
      <w:r w:rsidRPr="005504D6">
        <w:rPr>
          <w:rFonts w:cs="Arial"/>
          <w:b/>
          <w:spacing w:val="-3"/>
          <w:sz w:val="20"/>
        </w:rPr>
        <w:lastRenderedPageBreak/>
        <w:t>Obrazloženje Srednjoročnog p</w:t>
      </w:r>
      <w:r w:rsidR="00C92A32" w:rsidRPr="005504D6">
        <w:rPr>
          <w:rFonts w:cs="Arial"/>
          <w:b/>
          <w:spacing w:val="-3"/>
          <w:sz w:val="20"/>
        </w:rPr>
        <w:t>osl</w:t>
      </w:r>
      <w:r w:rsidR="00F24B5E" w:rsidRPr="005504D6">
        <w:rPr>
          <w:rFonts w:cs="Arial"/>
          <w:b/>
          <w:spacing w:val="-3"/>
          <w:sz w:val="20"/>
        </w:rPr>
        <w:t>ovnog plana za razdoblje od 20</w:t>
      </w:r>
      <w:r w:rsidR="00480CDB" w:rsidRPr="005504D6">
        <w:rPr>
          <w:rFonts w:cs="Arial"/>
          <w:b/>
          <w:spacing w:val="-3"/>
          <w:sz w:val="20"/>
        </w:rPr>
        <w:t>2</w:t>
      </w:r>
      <w:r w:rsidR="004B35D0">
        <w:rPr>
          <w:rFonts w:cs="Arial"/>
          <w:b/>
          <w:spacing w:val="-3"/>
          <w:sz w:val="20"/>
        </w:rPr>
        <w:t>4</w:t>
      </w:r>
      <w:r w:rsidR="00F24B5E" w:rsidRPr="005504D6">
        <w:rPr>
          <w:rFonts w:cs="Arial"/>
          <w:b/>
          <w:spacing w:val="-3"/>
          <w:sz w:val="20"/>
        </w:rPr>
        <w:t>.-202</w:t>
      </w:r>
      <w:r w:rsidR="004B35D0">
        <w:rPr>
          <w:rFonts w:cs="Arial"/>
          <w:b/>
          <w:spacing w:val="-3"/>
          <w:sz w:val="20"/>
        </w:rPr>
        <w:t>6</w:t>
      </w:r>
      <w:r w:rsidR="00C92A32" w:rsidRPr="005504D6">
        <w:rPr>
          <w:rFonts w:cs="Arial"/>
          <w:b/>
          <w:spacing w:val="-3"/>
          <w:sz w:val="20"/>
        </w:rPr>
        <w:t>. godine:</w:t>
      </w:r>
    </w:p>
    <w:p w14:paraId="5FD1EEA8" w14:textId="5F3A3B7F" w:rsidR="00C92A32" w:rsidRPr="00B0395A" w:rsidRDefault="00C92A32" w:rsidP="002F0C1D">
      <w:pPr>
        <w:spacing w:after="0" w:line="240" w:lineRule="auto"/>
        <w:jc w:val="both"/>
        <w:rPr>
          <w:rFonts w:cs="Arial"/>
          <w:bCs/>
          <w:spacing w:val="-3"/>
          <w:sz w:val="20"/>
        </w:rPr>
      </w:pPr>
    </w:p>
    <w:p w14:paraId="717E68AA" w14:textId="77777777" w:rsidR="00FF0E3F" w:rsidRDefault="00FF0E3F" w:rsidP="007A65C9">
      <w:pPr>
        <w:spacing w:after="0" w:line="240" w:lineRule="auto"/>
        <w:jc w:val="both"/>
        <w:rPr>
          <w:rFonts w:cs="Arial"/>
          <w:bCs/>
          <w:spacing w:val="-3"/>
          <w:sz w:val="20"/>
        </w:rPr>
      </w:pPr>
    </w:p>
    <w:p w14:paraId="1077DEDE" w14:textId="41FACC1B" w:rsidR="00FF0E3F" w:rsidRPr="00762C39" w:rsidRDefault="00FF0E3F" w:rsidP="007A65C9">
      <w:pPr>
        <w:spacing w:after="0" w:line="240" w:lineRule="auto"/>
        <w:jc w:val="both"/>
        <w:rPr>
          <w:rFonts w:cs="Arial"/>
          <w:bCs/>
          <w:spacing w:val="-3"/>
          <w:sz w:val="20"/>
        </w:rPr>
      </w:pPr>
      <w:r w:rsidRPr="00762C39">
        <w:rPr>
          <w:rFonts w:cs="Arial"/>
          <w:bCs/>
          <w:spacing w:val="-3"/>
          <w:sz w:val="20"/>
        </w:rPr>
        <w:t>N</w:t>
      </w:r>
      <w:r>
        <w:rPr>
          <w:rFonts w:cs="Arial"/>
          <w:bCs/>
          <w:spacing w:val="-3"/>
          <w:sz w:val="20"/>
        </w:rPr>
        <w:t xml:space="preserve">adzorni odbor </w:t>
      </w:r>
      <w:r w:rsidRPr="00762C39">
        <w:rPr>
          <w:rFonts w:cs="Arial"/>
          <w:bCs/>
          <w:spacing w:val="-3"/>
          <w:sz w:val="20"/>
        </w:rPr>
        <w:t>HBOR-a je u zadnjem kvartalu 2019. godine usvojio strategiju poslovanja za razdoblje 2020.-2024. godine. Sredstva za provedbu ovog značajnog projekta osigurana su u okviru EU Programa potpore strukturnim reformama (SRSP) pri Europskoj komisiji.</w:t>
      </w:r>
    </w:p>
    <w:p w14:paraId="0BF57EF2" w14:textId="06CD63BC" w:rsidR="00FF0E3F" w:rsidRPr="00762C39" w:rsidRDefault="00FF0E3F" w:rsidP="007A65C9">
      <w:pPr>
        <w:spacing w:after="0" w:line="240" w:lineRule="auto"/>
        <w:jc w:val="both"/>
        <w:rPr>
          <w:rFonts w:cs="Arial"/>
          <w:bCs/>
          <w:spacing w:val="-3"/>
          <w:sz w:val="20"/>
        </w:rPr>
      </w:pPr>
      <w:r w:rsidRPr="00762C39">
        <w:rPr>
          <w:rFonts w:cs="Arial"/>
          <w:bCs/>
          <w:spacing w:val="-3"/>
          <w:sz w:val="20"/>
        </w:rPr>
        <w:br/>
        <w:t xml:space="preserve">HBOR-ova strategija poslovanja u razdoblju od 2020. do 2024. godine definira viziju HBOR-a kao pokretača inovativnosti i održivog rasta hrvatskog gospodarstva. Uvažavajući kontinuirane promjene domaćeg i međunarodnog poslovnog okruženja, kao i trenutne i buduće potrebe javnog i privatnog sektora, HBOR-ova misija bit će proaktivna potpora razvoju Hrvatske. Imajući u vidu pandemiju bolesti COVID-19, HBOR je ažurirao svoju strategiju 2021. godine kako bi uvrstio i aktivnosti vezane uz oporavak gospodarstva od posljedica krize uzrokovane pandemijom bolesti COVID-19. </w:t>
      </w:r>
    </w:p>
    <w:p w14:paraId="640DA803" w14:textId="77777777" w:rsidR="004D1C78" w:rsidRPr="00B0395A" w:rsidRDefault="004D1C78" w:rsidP="007A65C9">
      <w:pPr>
        <w:spacing w:after="0" w:line="240" w:lineRule="auto"/>
        <w:jc w:val="both"/>
        <w:rPr>
          <w:rFonts w:cs="Arial"/>
          <w:bCs/>
          <w:spacing w:val="-3"/>
          <w:sz w:val="20"/>
        </w:rPr>
      </w:pPr>
    </w:p>
    <w:p w14:paraId="42A835B7" w14:textId="6D7CB3E1" w:rsidR="007A65C9" w:rsidRPr="00B0395A" w:rsidRDefault="007A65C9" w:rsidP="007A65C9">
      <w:pPr>
        <w:spacing w:after="0" w:line="240" w:lineRule="auto"/>
        <w:jc w:val="both"/>
        <w:rPr>
          <w:rFonts w:cs="Arial"/>
          <w:bCs/>
          <w:spacing w:val="-3"/>
          <w:sz w:val="20"/>
        </w:rPr>
      </w:pPr>
      <w:r w:rsidRPr="00B0395A">
        <w:rPr>
          <w:rFonts w:cs="Arial"/>
          <w:bCs/>
          <w:spacing w:val="-3"/>
          <w:sz w:val="20"/>
        </w:rPr>
        <w:t xml:space="preserve">Strateški ciljevi HBOR-a definirani su kao: </w:t>
      </w:r>
    </w:p>
    <w:p w14:paraId="4A2190C3" w14:textId="247E836F" w:rsidR="007A65C9" w:rsidRPr="00FE78F5" w:rsidRDefault="007A65C9" w:rsidP="00A53D87">
      <w:pPr>
        <w:pStyle w:val="ListParagraph"/>
        <w:numPr>
          <w:ilvl w:val="0"/>
          <w:numId w:val="50"/>
        </w:numPr>
        <w:spacing w:before="120" w:after="0" w:line="240" w:lineRule="auto"/>
        <w:jc w:val="both"/>
        <w:rPr>
          <w:rFonts w:cs="Arial"/>
          <w:bCs/>
          <w:spacing w:val="-3"/>
          <w:sz w:val="20"/>
        </w:rPr>
      </w:pPr>
      <w:r w:rsidRPr="00FE78F5">
        <w:rPr>
          <w:rFonts w:cs="Arial"/>
          <w:bCs/>
          <w:spacing w:val="-3"/>
          <w:sz w:val="20"/>
        </w:rPr>
        <w:t>Poticanje razvoja tržišta vlasničkog i kvazi-vlasničkog kapitala u Republici Hrvatskoj</w:t>
      </w:r>
      <w:r w:rsidR="004D1C78" w:rsidRPr="00FE78F5">
        <w:rPr>
          <w:rFonts w:cs="Arial"/>
          <w:bCs/>
          <w:spacing w:val="-3"/>
          <w:sz w:val="20"/>
        </w:rPr>
        <w:t>,</w:t>
      </w:r>
      <w:r w:rsidRPr="00FE78F5">
        <w:rPr>
          <w:rFonts w:cs="Arial"/>
          <w:bCs/>
          <w:spacing w:val="-3"/>
          <w:sz w:val="20"/>
        </w:rPr>
        <w:t xml:space="preserve"> </w:t>
      </w:r>
    </w:p>
    <w:p w14:paraId="04BB562B" w14:textId="65763FC4" w:rsidR="007A65C9" w:rsidRPr="00FE78F5" w:rsidRDefault="007A65C9" w:rsidP="00A53D87">
      <w:pPr>
        <w:pStyle w:val="ListParagraph"/>
        <w:numPr>
          <w:ilvl w:val="0"/>
          <w:numId w:val="50"/>
        </w:numPr>
        <w:spacing w:before="120" w:after="0" w:line="240" w:lineRule="auto"/>
        <w:jc w:val="both"/>
        <w:rPr>
          <w:rFonts w:cs="Arial"/>
          <w:bCs/>
          <w:spacing w:val="-3"/>
          <w:sz w:val="20"/>
        </w:rPr>
      </w:pPr>
      <w:r w:rsidRPr="00FE78F5">
        <w:rPr>
          <w:rFonts w:cs="Arial"/>
          <w:bCs/>
          <w:spacing w:val="-3"/>
          <w:sz w:val="20"/>
        </w:rPr>
        <w:t>Poticanje ekonomski i socijalno uravnoteženoga i održivoga regionalnog, ruralnog i urbanog razvoja Republike Hrvatske</w:t>
      </w:r>
      <w:r w:rsidR="004D1C78" w:rsidRPr="00FE78F5">
        <w:rPr>
          <w:rFonts w:cs="Arial"/>
          <w:bCs/>
          <w:spacing w:val="-3"/>
          <w:sz w:val="20"/>
        </w:rPr>
        <w:t>,</w:t>
      </w:r>
    </w:p>
    <w:p w14:paraId="04A44447" w14:textId="77777777" w:rsidR="004D1C78" w:rsidRPr="00FE78F5" w:rsidRDefault="007A65C9" w:rsidP="004D1C78">
      <w:pPr>
        <w:pStyle w:val="ListParagraph"/>
        <w:numPr>
          <w:ilvl w:val="0"/>
          <w:numId w:val="50"/>
        </w:numPr>
        <w:spacing w:before="120" w:after="0" w:line="240" w:lineRule="auto"/>
        <w:jc w:val="both"/>
        <w:rPr>
          <w:rFonts w:cs="Arial"/>
          <w:bCs/>
          <w:spacing w:val="-3"/>
          <w:sz w:val="20"/>
        </w:rPr>
      </w:pPr>
      <w:r w:rsidRPr="00FE78F5">
        <w:rPr>
          <w:rFonts w:cs="Arial"/>
          <w:bCs/>
          <w:spacing w:val="-3"/>
          <w:sz w:val="20"/>
        </w:rPr>
        <w:t>Poticanje internacionalizacije i globalizacije hrvatskog gospodarstva</w:t>
      </w:r>
      <w:r w:rsidR="004D1C78" w:rsidRPr="00FE78F5">
        <w:rPr>
          <w:rFonts w:cs="Arial"/>
          <w:bCs/>
          <w:spacing w:val="-3"/>
          <w:sz w:val="20"/>
        </w:rPr>
        <w:t>,</w:t>
      </w:r>
    </w:p>
    <w:p w14:paraId="7AB269BF" w14:textId="39A4DC4D" w:rsidR="007A65C9" w:rsidRPr="00FE78F5" w:rsidRDefault="007A65C9" w:rsidP="00A53D87">
      <w:pPr>
        <w:pStyle w:val="ListParagraph"/>
        <w:numPr>
          <w:ilvl w:val="0"/>
          <w:numId w:val="50"/>
        </w:numPr>
        <w:spacing w:before="120" w:after="0" w:line="240" w:lineRule="auto"/>
        <w:jc w:val="both"/>
        <w:rPr>
          <w:rFonts w:cs="Arial"/>
          <w:bCs/>
          <w:spacing w:val="-3"/>
          <w:sz w:val="20"/>
        </w:rPr>
      </w:pPr>
      <w:r w:rsidRPr="00FE78F5">
        <w:rPr>
          <w:rFonts w:cs="Arial"/>
          <w:bCs/>
          <w:spacing w:val="-3"/>
          <w:sz w:val="20"/>
        </w:rPr>
        <w:t>Poticanje oporavka gospodarstva od pandemije bolesti COVID-19 te konkurentnosti uz naglasak na inovacije, digitalnu transformaciju i Industriju 4.0</w:t>
      </w:r>
    </w:p>
    <w:p w14:paraId="298FC723" w14:textId="49C5E679" w:rsidR="007A65C9" w:rsidRPr="00FE78F5" w:rsidRDefault="007A65C9" w:rsidP="00A53D87">
      <w:pPr>
        <w:pStyle w:val="ListParagraph"/>
        <w:numPr>
          <w:ilvl w:val="0"/>
          <w:numId w:val="50"/>
        </w:numPr>
        <w:spacing w:before="120" w:after="0" w:line="240" w:lineRule="auto"/>
        <w:jc w:val="both"/>
        <w:rPr>
          <w:rFonts w:cs="Arial"/>
          <w:bCs/>
          <w:spacing w:val="-3"/>
          <w:sz w:val="20"/>
        </w:rPr>
      </w:pPr>
      <w:r w:rsidRPr="00FE78F5">
        <w:rPr>
          <w:rFonts w:cs="Arial"/>
          <w:bCs/>
          <w:spacing w:val="-3"/>
          <w:sz w:val="20"/>
        </w:rPr>
        <w:t>Poticanje klimatski i energetski neutralnog gospodarstva kroz energetsku učinkovitost, obnovljive izvore energije i zaštitu okoliša.</w:t>
      </w:r>
    </w:p>
    <w:p w14:paraId="6C4E2235" w14:textId="77777777" w:rsidR="004D1C78" w:rsidRPr="00FE78F5" w:rsidRDefault="004D1C78" w:rsidP="007A65C9">
      <w:pPr>
        <w:spacing w:after="0" w:line="240" w:lineRule="auto"/>
        <w:jc w:val="both"/>
        <w:rPr>
          <w:rFonts w:cs="Arial"/>
          <w:bCs/>
          <w:spacing w:val="-3"/>
          <w:sz w:val="20"/>
        </w:rPr>
      </w:pPr>
    </w:p>
    <w:p w14:paraId="58095013" w14:textId="07B95713" w:rsidR="007A65C9" w:rsidRPr="00B0395A" w:rsidRDefault="007A65C9" w:rsidP="007A65C9">
      <w:pPr>
        <w:spacing w:after="0" w:line="240" w:lineRule="auto"/>
        <w:jc w:val="both"/>
        <w:rPr>
          <w:rFonts w:cs="Arial"/>
          <w:bCs/>
          <w:spacing w:val="-3"/>
          <w:sz w:val="20"/>
        </w:rPr>
      </w:pPr>
      <w:r w:rsidRPr="00FE78F5">
        <w:rPr>
          <w:rFonts w:cs="Arial"/>
          <w:bCs/>
          <w:spacing w:val="-3"/>
          <w:sz w:val="20"/>
        </w:rPr>
        <w:t>Ostvarenje strateških ciljeva temeljeno je na HBOR-ovom fleksibilnom i održivom poslovanju s proaktivnim poslovnim pristupom. Strategija omogućuje HBOR-u da brže i učinkovitije reagira na zahtjeve gospodarstva Republike Hrvatske, promjene na financijskom tržištu i makroekonomskom okruženju, pružajući adekvatne proizvode i usluge hrvatskom gospodarstvu. Isto je bilo posebno vidljivo u brzom osmišljavanju novih proizvoda HBOR za sanaciju krize uzrokovane pandemijom bolesti COVID-19 i za poduzeća s potresom pogođenih područja.</w:t>
      </w:r>
    </w:p>
    <w:p w14:paraId="0E09BAD9" w14:textId="77777777" w:rsidR="00D40948" w:rsidRPr="005504D6" w:rsidRDefault="00D40948" w:rsidP="002F0C1D">
      <w:pPr>
        <w:spacing w:after="0" w:line="240" w:lineRule="auto"/>
        <w:jc w:val="both"/>
        <w:rPr>
          <w:rFonts w:cs="Arial"/>
          <w:b/>
          <w:bCs/>
          <w:spacing w:val="-3"/>
          <w:sz w:val="20"/>
        </w:rPr>
      </w:pPr>
    </w:p>
    <w:p w14:paraId="2651C119" w14:textId="0CC037A6" w:rsidR="002F0C1D" w:rsidRPr="005504D6" w:rsidRDefault="002F0C1D" w:rsidP="002F0C1D">
      <w:pPr>
        <w:spacing w:after="0" w:line="240" w:lineRule="auto"/>
        <w:jc w:val="both"/>
        <w:rPr>
          <w:rFonts w:cs="Arial"/>
          <w:spacing w:val="-3"/>
          <w:sz w:val="20"/>
        </w:rPr>
      </w:pPr>
      <w:r w:rsidRPr="005504D6">
        <w:rPr>
          <w:rFonts w:cs="Arial"/>
          <w:b/>
          <w:bCs/>
          <w:spacing w:val="-3"/>
          <w:sz w:val="20"/>
        </w:rPr>
        <w:t>Na projicirana kretanja za raz</w:t>
      </w:r>
      <w:r w:rsidR="00437679" w:rsidRPr="005504D6">
        <w:rPr>
          <w:rFonts w:cs="Arial"/>
          <w:b/>
          <w:bCs/>
          <w:spacing w:val="-3"/>
          <w:sz w:val="20"/>
        </w:rPr>
        <w:t>doblje od 20</w:t>
      </w:r>
      <w:r w:rsidR="00480CDB" w:rsidRPr="005504D6">
        <w:rPr>
          <w:rFonts w:cs="Arial"/>
          <w:b/>
          <w:bCs/>
          <w:spacing w:val="-3"/>
          <w:sz w:val="20"/>
        </w:rPr>
        <w:t>2</w:t>
      </w:r>
      <w:r w:rsidR="007F5696">
        <w:rPr>
          <w:rFonts w:cs="Arial"/>
          <w:b/>
          <w:bCs/>
          <w:spacing w:val="-3"/>
          <w:sz w:val="20"/>
        </w:rPr>
        <w:t>4</w:t>
      </w:r>
      <w:r w:rsidR="00437679" w:rsidRPr="005504D6">
        <w:rPr>
          <w:rFonts w:cs="Arial"/>
          <w:b/>
          <w:bCs/>
          <w:spacing w:val="-3"/>
          <w:sz w:val="20"/>
        </w:rPr>
        <w:t>. do 202</w:t>
      </w:r>
      <w:r w:rsidR="007F5696">
        <w:rPr>
          <w:rFonts w:cs="Arial"/>
          <w:b/>
          <w:bCs/>
          <w:spacing w:val="-3"/>
          <w:sz w:val="20"/>
        </w:rPr>
        <w:t>6</w:t>
      </w:r>
      <w:r w:rsidRPr="005504D6">
        <w:rPr>
          <w:rFonts w:cs="Arial"/>
          <w:b/>
          <w:bCs/>
          <w:spacing w:val="-3"/>
          <w:sz w:val="20"/>
        </w:rPr>
        <w:t>. godine utjecale su sljedeće okolnosti:</w:t>
      </w:r>
    </w:p>
    <w:p w14:paraId="29699148" w14:textId="16033374" w:rsidR="00697070" w:rsidRPr="00C90BCB" w:rsidRDefault="00C92A32" w:rsidP="00E62069">
      <w:pPr>
        <w:numPr>
          <w:ilvl w:val="0"/>
          <w:numId w:val="36"/>
        </w:numPr>
        <w:spacing w:after="0" w:line="240" w:lineRule="auto"/>
        <w:ind w:left="709" w:hanging="425"/>
        <w:jc w:val="both"/>
        <w:rPr>
          <w:rFonts w:cs="Arial"/>
          <w:spacing w:val="-3"/>
          <w:sz w:val="20"/>
        </w:rPr>
      </w:pPr>
      <w:r w:rsidRPr="005504D6">
        <w:rPr>
          <w:rFonts w:cs="Arial"/>
          <w:bCs/>
          <w:spacing w:val="-3"/>
          <w:sz w:val="20"/>
        </w:rPr>
        <w:t xml:space="preserve">planirane isplate po kreditnim </w:t>
      </w:r>
      <w:r w:rsidRPr="00C90BCB">
        <w:rPr>
          <w:rFonts w:cs="Arial"/>
          <w:bCs/>
          <w:spacing w:val="-3"/>
          <w:sz w:val="20"/>
        </w:rPr>
        <w:t xml:space="preserve">aktivnostima </w:t>
      </w:r>
      <w:r w:rsidR="00E75288" w:rsidRPr="00C90BCB">
        <w:rPr>
          <w:rFonts w:cs="Arial"/>
          <w:spacing w:val="-3"/>
          <w:sz w:val="20"/>
        </w:rPr>
        <w:t xml:space="preserve">iznose </w:t>
      </w:r>
      <w:r w:rsidR="00C90BCB" w:rsidRPr="00C90BCB">
        <w:rPr>
          <w:rFonts w:cs="Arial"/>
          <w:spacing w:val="-3"/>
          <w:sz w:val="20"/>
        </w:rPr>
        <w:t>2</w:t>
      </w:r>
      <w:r w:rsidR="00367897" w:rsidRPr="00C90BCB">
        <w:rPr>
          <w:rFonts w:cs="Arial"/>
          <w:spacing w:val="-3"/>
          <w:sz w:val="20"/>
        </w:rPr>
        <w:t>,</w:t>
      </w:r>
      <w:r w:rsidR="00EF4E2A">
        <w:rPr>
          <w:rFonts w:cs="Arial"/>
          <w:spacing w:val="-3"/>
          <w:sz w:val="20"/>
        </w:rPr>
        <w:t>1</w:t>
      </w:r>
      <w:r w:rsidR="00E75288" w:rsidRPr="00C90BCB">
        <w:rPr>
          <w:rFonts w:cs="Arial"/>
          <w:spacing w:val="-3"/>
          <w:sz w:val="20"/>
        </w:rPr>
        <w:t xml:space="preserve"> milijard</w:t>
      </w:r>
      <w:r w:rsidR="00D51EC3" w:rsidRPr="00C90BCB">
        <w:rPr>
          <w:rFonts w:cs="Arial"/>
          <w:spacing w:val="-3"/>
          <w:sz w:val="20"/>
        </w:rPr>
        <w:t>i</w:t>
      </w:r>
      <w:r w:rsidR="00E75288" w:rsidRPr="00C90BCB">
        <w:rPr>
          <w:rFonts w:cs="Arial"/>
          <w:spacing w:val="-3"/>
          <w:sz w:val="20"/>
        </w:rPr>
        <w:t xml:space="preserve"> </w:t>
      </w:r>
      <w:r w:rsidR="00D51EC3" w:rsidRPr="00C90BCB">
        <w:rPr>
          <w:rFonts w:cs="Arial"/>
          <w:spacing w:val="-3"/>
          <w:sz w:val="20"/>
        </w:rPr>
        <w:t>eura</w:t>
      </w:r>
      <w:r w:rsidR="00E75288" w:rsidRPr="00C90BCB">
        <w:rPr>
          <w:rFonts w:cs="Arial"/>
          <w:spacing w:val="-3"/>
          <w:sz w:val="20"/>
        </w:rPr>
        <w:t xml:space="preserve"> (</w:t>
      </w:r>
      <w:r w:rsidR="00EF4E2A">
        <w:rPr>
          <w:rFonts w:cs="Arial"/>
          <w:spacing w:val="-3"/>
          <w:sz w:val="20"/>
        </w:rPr>
        <w:t>701</w:t>
      </w:r>
      <w:r w:rsidR="00D51EC3" w:rsidRPr="00C90BCB">
        <w:rPr>
          <w:rFonts w:cs="Arial"/>
          <w:spacing w:val="-3"/>
          <w:sz w:val="20"/>
        </w:rPr>
        <w:t xml:space="preserve"> milijuna eura </w:t>
      </w:r>
      <w:r w:rsidRPr="00C90BCB">
        <w:rPr>
          <w:rFonts w:cs="Arial"/>
          <w:spacing w:val="-3"/>
          <w:sz w:val="20"/>
        </w:rPr>
        <w:t>prosječno godišnje</w:t>
      </w:r>
      <w:r w:rsidR="004C06C7">
        <w:rPr>
          <w:rFonts w:cs="Arial"/>
          <w:spacing w:val="-3"/>
          <w:sz w:val="20"/>
        </w:rPr>
        <w:t>)</w:t>
      </w:r>
      <w:r w:rsidRPr="00C90BCB">
        <w:rPr>
          <w:rFonts w:cs="Arial"/>
          <w:spacing w:val="-3"/>
          <w:sz w:val="20"/>
        </w:rPr>
        <w:t xml:space="preserve">, što je za </w:t>
      </w:r>
      <w:r w:rsidR="00D51EC3" w:rsidRPr="00C90BCB">
        <w:rPr>
          <w:rFonts w:cs="Arial"/>
          <w:spacing w:val="-3"/>
          <w:sz w:val="20"/>
        </w:rPr>
        <w:t>1</w:t>
      </w:r>
      <w:r w:rsidR="00EF4E2A">
        <w:rPr>
          <w:rFonts w:cs="Arial"/>
          <w:spacing w:val="-3"/>
          <w:sz w:val="20"/>
        </w:rPr>
        <w:t>1</w:t>
      </w:r>
      <w:r w:rsidRPr="00C90BCB">
        <w:rPr>
          <w:rFonts w:cs="Arial"/>
          <w:spacing w:val="-3"/>
          <w:sz w:val="20"/>
        </w:rPr>
        <w:t>%</w:t>
      </w:r>
      <w:r w:rsidRPr="00C90BCB">
        <w:rPr>
          <w:rFonts w:cs="Arial"/>
          <w:bCs/>
          <w:spacing w:val="-3"/>
          <w:sz w:val="20"/>
        </w:rPr>
        <w:t xml:space="preserve"> manje </w:t>
      </w:r>
      <w:r w:rsidRPr="00C90BCB">
        <w:rPr>
          <w:rFonts w:cs="Arial"/>
          <w:spacing w:val="-3"/>
          <w:sz w:val="20"/>
        </w:rPr>
        <w:t>u odnos</w:t>
      </w:r>
      <w:r w:rsidR="004127D0" w:rsidRPr="00C90BCB">
        <w:rPr>
          <w:rFonts w:cs="Arial"/>
          <w:spacing w:val="-3"/>
          <w:sz w:val="20"/>
        </w:rPr>
        <w:t>u na p</w:t>
      </w:r>
      <w:r w:rsidR="007648DD" w:rsidRPr="00C90BCB">
        <w:rPr>
          <w:rFonts w:cs="Arial"/>
          <w:spacing w:val="-3"/>
          <w:sz w:val="20"/>
        </w:rPr>
        <w:t>rosjek u razdoblju od 20</w:t>
      </w:r>
      <w:r w:rsidR="00BC2157" w:rsidRPr="00C90BCB">
        <w:rPr>
          <w:rFonts w:cs="Arial"/>
          <w:spacing w:val="-3"/>
          <w:sz w:val="20"/>
        </w:rPr>
        <w:t>2</w:t>
      </w:r>
      <w:r w:rsidR="007F5696" w:rsidRPr="00C90BCB">
        <w:rPr>
          <w:rFonts w:cs="Arial"/>
          <w:spacing w:val="-3"/>
          <w:sz w:val="20"/>
        </w:rPr>
        <w:t>1</w:t>
      </w:r>
      <w:r w:rsidR="007648DD" w:rsidRPr="00C90BCB">
        <w:rPr>
          <w:rFonts w:cs="Arial"/>
          <w:spacing w:val="-3"/>
          <w:sz w:val="20"/>
        </w:rPr>
        <w:t>.-20</w:t>
      </w:r>
      <w:r w:rsidR="00BC2157" w:rsidRPr="00C90BCB">
        <w:rPr>
          <w:rFonts w:cs="Arial"/>
          <w:spacing w:val="-3"/>
          <w:sz w:val="20"/>
        </w:rPr>
        <w:t>2</w:t>
      </w:r>
      <w:r w:rsidR="007F5696" w:rsidRPr="00C90BCB">
        <w:rPr>
          <w:rFonts w:cs="Arial"/>
          <w:spacing w:val="-3"/>
          <w:sz w:val="20"/>
        </w:rPr>
        <w:t>3</w:t>
      </w:r>
      <w:r w:rsidR="004127D0" w:rsidRPr="00C90BCB">
        <w:rPr>
          <w:rFonts w:cs="Arial"/>
          <w:spacing w:val="-3"/>
          <w:sz w:val="20"/>
        </w:rPr>
        <w:t xml:space="preserve"> godine</w:t>
      </w:r>
      <w:r w:rsidR="004C06C7">
        <w:rPr>
          <w:rFonts w:cs="Arial"/>
          <w:spacing w:val="-3"/>
          <w:sz w:val="20"/>
        </w:rPr>
        <w:t xml:space="preserve"> (</w:t>
      </w:r>
      <w:r w:rsidR="00C90BCB" w:rsidRPr="00C90BCB">
        <w:rPr>
          <w:rFonts w:cs="Arial"/>
          <w:spacing w:val="-3"/>
          <w:sz w:val="20"/>
        </w:rPr>
        <w:t>7</w:t>
      </w:r>
      <w:r w:rsidR="00EF4E2A">
        <w:rPr>
          <w:rFonts w:cs="Arial"/>
          <w:spacing w:val="-3"/>
          <w:sz w:val="20"/>
        </w:rPr>
        <w:t>90</w:t>
      </w:r>
      <w:r w:rsidR="00D51EC3" w:rsidRPr="00C90BCB">
        <w:rPr>
          <w:rFonts w:cs="Arial"/>
          <w:spacing w:val="-3"/>
          <w:sz w:val="20"/>
        </w:rPr>
        <w:t xml:space="preserve"> milijun</w:t>
      </w:r>
      <w:r w:rsidR="004C06C7">
        <w:rPr>
          <w:rFonts w:cs="Arial"/>
          <w:spacing w:val="-3"/>
          <w:sz w:val="20"/>
        </w:rPr>
        <w:t>a</w:t>
      </w:r>
      <w:r w:rsidR="00D51EC3" w:rsidRPr="00C90BCB">
        <w:rPr>
          <w:rFonts w:cs="Arial"/>
          <w:spacing w:val="-3"/>
          <w:sz w:val="20"/>
        </w:rPr>
        <w:t xml:space="preserve"> eura</w:t>
      </w:r>
      <w:r w:rsidR="004C06C7">
        <w:rPr>
          <w:rFonts w:cs="Arial"/>
          <w:spacing w:val="-3"/>
          <w:sz w:val="20"/>
        </w:rPr>
        <w:t xml:space="preserve"> prosječno godišnje</w:t>
      </w:r>
      <w:r w:rsidRPr="00C90BCB">
        <w:rPr>
          <w:rFonts w:cs="Arial"/>
          <w:spacing w:val="-3"/>
          <w:sz w:val="20"/>
        </w:rPr>
        <w:t>).</w:t>
      </w:r>
    </w:p>
    <w:p w14:paraId="51F74FA5" w14:textId="7A74B403" w:rsidR="00697070" w:rsidRPr="00B2419C" w:rsidRDefault="00C92A32">
      <w:pPr>
        <w:numPr>
          <w:ilvl w:val="0"/>
          <w:numId w:val="36"/>
        </w:numPr>
        <w:spacing w:after="0" w:line="240" w:lineRule="auto"/>
        <w:ind w:left="709" w:hanging="425"/>
        <w:jc w:val="both"/>
        <w:rPr>
          <w:rFonts w:cs="Arial"/>
          <w:spacing w:val="-3"/>
          <w:sz w:val="20"/>
        </w:rPr>
      </w:pPr>
      <w:r w:rsidRPr="00B2419C">
        <w:rPr>
          <w:rFonts w:cs="Arial"/>
          <w:bCs/>
          <w:spacing w:val="-3"/>
          <w:sz w:val="20"/>
        </w:rPr>
        <w:t xml:space="preserve">planirano zaduženje </w:t>
      </w:r>
      <w:r w:rsidRPr="00B2419C">
        <w:rPr>
          <w:rFonts w:cs="Arial"/>
          <w:spacing w:val="-3"/>
          <w:sz w:val="20"/>
        </w:rPr>
        <w:t xml:space="preserve">iznosi </w:t>
      </w:r>
      <w:r w:rsidR="00D65164" w:rsidRPr="00B2419C">
        <w:rPr>
          <w:rFonts w:cs="Arial"/>
          <w:bCs/>
          <w:spacing w:val="-3"/>
          <w:sz w:val="20"/>
        </w:rPr>
        <w:t>1</w:t>
      </w:r>
      <w:r w:rsidR="004D5F15" w:rsidRPr="00B2419C">
        <w:rPr>
          <w:rFonts w:cs="Arial"/>
          <w:bCs/>
          <w:spacing w:val="-3"/>
          <w:sz w:val="20"/>
        </w:rPr>
        <w:t>,</w:t>
      </w:r>
      <w:r w:rsidR="00EF4E2A">
        <w:rPr>
          <w:rFonts w:cs="Arial"/>
          <w:bCs/>
          <w:spacing w:val="-3"/>
          <w:sz w:val="20"/>
        </w:rPr>
        <w:t>3</w:t>
      </w:r>
      <w:r w:rsidR="004D5F15" w:rsidRPr="00B2419C">
        <w:rPr>
          <w:rFonts w:cs="Arial"/>
          <w:bCs/>
          <w:spacing w:val="-3"/>
          <w:sz w:val="20"/>
        </w:rPr>
        <w:t xml:space="preserve"> </w:t>
      </w:r>
      <w:r w:rsidRPr="00B2419C">
        <w:rPr>
          <w:rFonts w:cs="Arial"/>
          <w:bCs/>
          <w:spacing w:val="-3"/>
          <w:sz w:val="20"/>
        </w:rPr>
        <w:t>milijard</w:t>
      </w:r>
      <w:r w:rsidR="0054799B" w:rsidRPr="00B2419C">
        <w:rPr>
          <w:rFonts w:cs="Arial"/>
          <w:bCs/>
          <w:spacing w:val="-3"/>
          <w:sz w:val="20"/>
        </w:rPr>
        <w:t>a</w:t>
      </w:r>
      <w:r w:rsidRPr="00B2419C">
        <w:rPr>
          <w:rFonts w:cs="Arial"/>
          <w:bCs/>
          <w:spacing w:val="-3"/>
          <w:sz w:val="20"/>
        </w:rPr>
        <w:t xml:space="preserve"> </w:t>
      </w:r>
      <w:r w:rsidR="004D5F15" w:rsidRPr="00B2419C">
        <w:rPr>
          <w:rFonts w:cs="Arial"/>
          <w:bCs/>
          <w:spacing w:val="-3"/>
          <w:sz w:val="20"/>
        </w:rPr>
        <w:t>eura</w:t>
      </w:r>
      <w:r w:rsidR="000E4BA5" w:rsidRPr="00B2419C">
        <w:rPr>
          <w:rFonts w:cs="Arial"/>
          <w:bCs/>
          <w:spacing w:val="-3"/>
          <w:sz w:val="20"/>
        </w:rPr>
        <w:t xml:space="preserve"> </w:t>
      </w:r>
      <w:r w:rsidR="000E4BA5" w:rsidRPr="00B2419C">
        <w:rPr>
          <w:rFonts w:cs="Arial"/>
          <w:spacing w:val="-3"/>
          <w:sz w:val="20"/>
        </w:rPr>
        <w:t>(4</w:t>
      </w:r>
      <w:r w:rsidR="00B2419C" w:rsidRPr="00B2419C">
        <w:rPr>
          <w:rFonts w:cs="Arial"/>
          <w:spacing w:val="-3"/>
          <w:sz w:val="20"/>
        </w:rPr>
        <w:t>26</w:t>
      </w:r>
      <w:r w:rsidR="000E4BA5" w:rsidRPr="00B2419C">
        <w:rPr>
          <w:rFonts w:cs="Arial"/>
          <w:spacing w:val="-3"/>
          <w:sz w:val="20"/>
        </w:rPr>
        <w:t xml:space="preserve"> milijuna eura prosječno godišnje</w:t>
      </w:r>
      <w:r w:rsidR="0054799B" w:rsidRPr="00B2419C">
        <w:rPr>
          <w:rFonts w:cs="Arial"/>
          <w:spacing w:val="-3"/>
          <w:sz w:val="20"/>
        </w:rPr>
        <w:t>)</w:t>
      </w:r>
      <w:r w:rsidR="000E4BA5" w:rsidRPr="00B2419C">
        <w:rPr>
          <w:rFonts w:cs="Arial"/>
          <w:spacing w:val="-3"/>
          <w:sz w:val="20"/>
        </w:rPr>
        <w:t>, što je za 6%</w:t>
      </w:r>
      <w:r w:rsidR="000E4BA5" w:rsidRPr="00B2419C">
        <w:rPr>
          <w:rFonts w:cs="Arial"/>
          <w:bCs/>
          <w:spacing w:val="-3"/>
          <w:sz w:val="20"/>
        </w:rPr>
        <w:t xml:space="preserve"> više </w:t>
      </w:r>
      <w:r w:rsidR="000E4BA5" w:rsidRPr="00B2419C">
        <w:rPr>
          <w:rFonts w:cs="Arial"/>
          <w:spacing w:val="-3"/>
          <w:sz w:val="20"/>
        </w:rPr>
        <w:t xml:space="preserve">u odnosu na </w:t>
      </w:r>
      <w:r w:rsidR="0054799B" w:rsidRPr="00B2419C">
        <w:rPr>
          <w:rFonts w:cs="Arial"/>
          <w:spacing w:val="-3"/>
          <w:sz w:val="20"/>
        </w:rPr>
        <w:t xml:space="preserve">zaduženje </w:t>
      </w:r>
      <w:r w:rsidR="000E4BA5" w:rsidRPr="00B2419C">
        <w:rPr>
          <w:rFonts w:cs="Arial"/>
          <w:spacing w:val="-3"/>
          <w:sz w:val="20"/>
        </w:rPr>
        <w:t>u razdoblju od 202</w:t>
      </w:r>
      <w:r w:rsidR="007F5696" w:rsidRPr="00B2419C">
        <w:rPr>
          <w:rFonts w:cs="Arial"/>
          <w:spacing w:val="-3"/>
          <w:sz w:val="20"/>
        </w:rPr>
        <w:t>1</w:t>
      </w:r>
      <w:r w:rsidR="000E4BA5" w:rsidRPr="00B2419C">
        <w:rPr>
          <w:rFonts w:cs="Arial"/>
          <w:spacing w:val="-3"/>
          <w:sz w:val="20"/>
        </w:rPr>
        <w:t>.-202</w:t>
      </w:r>
      <w:r w:rsidR="007F5696" w:rsidRPr="00B2419C">
        <w:rPr>
          <w:rFonts w:cs="Arial"/>
          <w:spacing w:val="-3"/>
          <w:sz w:val="20"/>
        </w:rPr>
        <w:t>3</w:t>
      </w:r>
      <w:r w:rsidR="000E4BA5" w:rsidRPr="00B2419C">
        <w:rPr>
          <w:rFonts w:cs="Arial"/>
          <w:spacing w:val="-3"/>
          <w:sz w:val="20"/>
        </w:rPr>
        <w:t>. godine</w:t>
      </w:r>
      <w:r w:rsidR="0054799B" w:rsidRPr="00B2419C">
        <w:rPr>
          <w:rFonts w:cs="Arial"/>
          <w:spacing w:val="-3"/>
          <w:sz w:val="20"/>
        </w:rPr>
        <w:t xml:space="preserve"> koje iznosi 1,</w:t>
      </w:r>
      <w:r w:rsidR="00B2419C" w:rsidRPr="00B2419C">
        <w:rPr>
          <w:rFonts w:cs="Arial"/>
          <w:spacing w:val="-3"/>
          <w:sz w:val="20"/>
        </w:rPr>
        <w:t>2</w:t>
      </w:r>
      <w:r w:rsidR="0054799B" w:rsidRPr="00B2419C">
        <w:rPr>
          <w:rFonts w:cs="Arial"/>
          <w:spacing w:val="-3"/>
          <w:sz w:val="20"/>
        </w:rPr>
        <w:t xml:space="preserve"> milijarda eura</w:t>
      </w:r>
      <w:r w:rsidR="000E4BA5" w:rsidRPr="00B2419C">
        <w:rPr>
          <w:rFonts w:cs="Arial"/>
          <w:spacing w:val="-3"/>
          <w:sz w:val="20"/>
        </w:rPr>
        <w:t xml:space="preserve"> </w:t>
      </w:r>
      <w:r w:rsidR="0054799B" w:rsidRPr="00B2419C">
        <w:rPr>
          <w:rFonts w:cs="Arial"/>
          <w:spacing w:val="-3"/>
          <w:sz w:val="20"/>
        </w:rPr>
        <w:t xml:space="preserve">(prosječno godišnje </w:t>
      </w:r>
      <w:r w:rsidR="000E4BA5" w:rsidRPr="00B2419C">
        <w:rPr>
          <w:rFonts w:cs="Arial"/>
          <w:spacing w:val="-3"/>
          <w:sz w:val="20"/>
        </w:rPr>
        <w:t xml:space="preserve">iznosi </w:t>
      </w:r>
      <w:r w:rsidR="00B2419C" w:rsidRPr="00B2419C">
        <w:rPr>
          <w:rFonts w:cs="Arial"/>
          <w:spacing w:val="-3"/>
          <w:sz w:val="20"/>
        </w:rPr>
        <w:t>401</w:t>
      </w:r>
      <w:r w:rsidR="000E4BA5" w:rsidRPr="00B2419C">
        <w:rPr>
          <w:rFonts w:cs="Arial"/>
          <w:spacing w:val="-3"/>
          <w:sz w:val="20"/>
        </w:rPr>
        <w:t xml:space="preserve"> milijuna eura).</w:t>
      </w:r>
    </w:p>
    <w:p w14:paraId="17B75AA4" w14:textId="5E5761C7" w:rsidR="007B7FD0" w:rsidRPr="00B2419C" w:rsidRDefault="007648DD">
      <w:pPr>
        <w:numPr>
          <w:ilvl w:val="0"/>
          <w:numId w:val="36"/>
        </w:numPr>
        <w:spacing w:after="0" w:line="240" w:lineRule="auto"/>
        <w:ind w:left="709" w:hanging="425"/>
        <w:jc w:val="both"/>
        <w:rPr>
          <w:rFonts w:cs="Arial"/>
          <w:spacing w:val="-3"/>
          <w:sz w:val="20"/>
        </w:rPr>
      </w:pPr>
      <w:r w:rsidRPr="000C5447">
        <w:rPr>
          <w:rFonts w:cs="Arial"/>
          <w:bCs/>
          <w:spacing w:val="-3"/>
          <w:sz w:val="20"/>
        </w:rPr>
        <w:t xml:space="preserve">otplate zaduženja </w:t>
      </w:r>
      <w:r w:rsidR="000E4BA5" w:rsidRPr="000C5447">
        <w:rPr>
          <w:rFonts w:cs="Arial"/>
          <w:bCs/>
          <w:spacing w:val="-3"/>
          <w:sz w:val="20"/>
        </w:rPr>
        <w:t xml:space="preserve">(glavnica i kamata) </w:t>
      </w:r>
      <w:r w:rsidRPr="000C5447">
        <w:rPr>
          <w:rFonts w:cs="Arial"/>
          <w:bCs/>
          <w:spacing w:val="-3"/>
          <w:sz w:val="20"/>
        </w:rPr>
        <w:t xml:space="preserve">iznose </w:t>
      </w:r>
      <w:r w:rsidR="000C5447" w:rsidRPr="000C5447">
        <w:rPr>
          <w:rFonts w:cs="Arial"/>
          <w:bCs/>
          <w:spacing w:val="-3"/>
          <w:sz w:val="20"/>
        </w:rPr>
        <w:t>1,</w:t>
      </w:r>
      <w:r w:rsidR="00EF4E2A">
        <w:rPr>
          <w:rFonts w:cs="Arial"/>
          <w:bCs/>
          <w:spacing w:val="-3"/>
          <w:sz w:val="20"/>
        </w:rPr>
        <w:t>4</w:t>
      </w:r>
      <w:r w:rsidR="004D5F15" w:rsidRPr="000C5447">
        <w:rPr>
          <w:rFonts w:cs="Arial"/>
          <w:bCs/>
          <w:spacing w:val="-3"/>
          <w:sz w:val="20"/>
        </w:rPr>
        <w:t xml:space="preserve"> mili</w:t>
      </w:r>
      <w:r w:rsidR="00EF4E2A">
        <w:rPr>
          <w:rFonts w:cs="Arial"/>
          <w:bCs/>
          <w:spacing w:val="-3"/>
          <w:sz w:val="20"/>
        </w:rPr>
        <w:t>jarda</w:t>
      </w:r>
      <w:r w:rsidR="004D5F15" w:rsidRPr="000C5447">
        <w:rPr>
          <w:rFonts w:cs="Arial"/>
          <w:bCs/>
          <w:spacing w:val="-3"/>
          <w:sz w:val="20"/>
        </w:rPr>
        <w:t xml:space="preserve"> eura</w:t>
      </w:r>
      <w:r w:rsidR="00A87AD8" w:rsidRPr="000C5447">
        <w:rPr>
          <w:rFonts w:cs="Arial"/>
          <w:bCs/>
          <w:spacing w:val="-3"/>
          <w:sz w:val="20"/>
        </w:rPr>
        <w:t xml:space="preserve"> (</w:t>
      </w:r>
      <w:r w:rsidR="000C5447" w:rsidRPr="000C5447">
        <w:rPr>
          <w:rFonts w:cs="Arial"/>
          <w:spacing w:val="-3"/>
          <w:sz w:val="20"/>
        </w:rPr>
        <w:t>455</w:t>
      </w:r>
      <w:r w:rsidR="000E4BA5" w:rsidRPr="000C5447">
        <w:rPr>
          <w:rFonts w:cs="Arial"/>
          <w:spacing w:val="-3"/>
          <w:sz w:val="20"/>
        </w:rPr>
        <w:t xml:space="preserve"> milijuna eura prosječno godišnje</w:t>
      </w:r>
      <w:r w:rsidR="0054799B" w:rsidRPr="000C5447">
        <w:rPr>
          <w:rFonts w:cs="Arial"/>
          <w:spacing w:val="-3"/>
          <w:sz w:val="20"/>
        </w:rPr>
        <w:t>)</w:t>
      </w:r>
      <w:r w:rsidR="000E4BA5" w:rsidRPr="000C5447">
        <w:rPr>
          <w:rFonts w:cs="Arial"/>
          <w:spacing w:val="-3"/>
          <w:sz w:val="20"/>
        </w:rPr>
        <w:t xml:space="preserve">, što je za </w:t>
      </w:r>
      <w:r w:rsidR="000C5447" w:rsidRPr="000C5447">
        <w:rPr>
          <w:rFonts w:cs="Arial"/>
          <w:spacing w:val="-3"/>
          <w:sz w:val="20"/>
        </w:rPr>
        <w:t>1</w:t>
      </w:r>
      <w:r w:rsidR="00C90BCB">
        <w:rPr>
          <w:rFonts w:cs="Arial"/>
          <w:spacing w:val="-3"/>
          <w:sz w:val="20"/>
        </w:rPr>
        <w:t>3</w:t>
      </w:r>
      <w:r w:rsidR="000E4BA5" w:rsidRPr="000C5447">
        <w:rPr>
          <w:rFonts w:cs="Arial"/>
          <w:spacing w:val="-3"/>
          <w:sz w:val="20"/>
        </w:rPr>
        <w:t>%</w:t>
      </w:r>
      <w:r w:rsidR="000E4BA5" w:rsidRPr="000C5447">
        <w:rPr>
          <w:rFonts w:cs="Arial"/>
          <w:bCs/>
          <w:spacing w:val="-3"/>
          <w:sz w:val="20"/>
        </w:rPr>
        <w:t xml:space="preserve"> </w:t>
      </w:r>
      <w:r w:rsidR="00C90BCB">
        <w:rPr>
          <w:rFonts w:cs="Arial"/>
          <w:bCs/>
          <w:spacing w:val="-3"/>
          <w:sz w:val="20"/>
        </w:rPr>
        <w:t>više</w:t>
      </w:r>
      <w:r w:rsidR="000E4BA5" w:rsidRPr="000C5447">
        <w:rPr>
          <w:rFonts w:cs="Arial"/>
          <w:bCs/>
          <w:spacing w:val="-3"/>
          <w:sz w:val="20"/>
        </w:rPr>
        <w:t xml:space="preserve"> </w:t>
      </w:r>
      <w:r w:rsidR="000E4BA5" w:rsidRPr="000C5447">
        <w:rPr>
          <w:rFonts w:cs="Arial"/>
          <w:spacing w:val="-3"/>
          <w:sz w:val="20"/>
        </w:rPr>
        <w:t>u odnosu na prosjek u razdoblju od 202</w:t>
      </w:r>
      <w:r w:rsidR="000C5447" w:rsidRPr="000C5447">
        <w:rPr>
          <w:rFonts w:cs="Arial"/>
          <w:spacing w:val="-3"/>
          <w:sz w:val="20"/>
        </w:rPr>
        <w:t>1</w:t>
      </w:r>
      <w:r w:rsidR="000E4BA5" w:rsidRPr="000C5447">
        <w:rPr>
          <w:rFonts w:cs="Arial"/>
          <w:spacing w:val="-3"/>
          <w:sz w:val="20"/>
        </w:rPr>
        <w:t>.-202</w:t>
      </w:r>
      <w:r w:rsidR="000C5447" w:rsidRPr="000C5447">
        <w:rPr>
          <w:rFonts w:cs="Arial"/>
          <w:spacing w:val="-3"/>
          <w:sz w:val="20"/>
        </w:rPr>
        <w:t>3</w:t>
      </w:r>
      <w:r w:rsidR="000E4BA5" w:rsidRPr="000C5447">
        <w:rPr>
          <w:rFonts w:cs="Arial"/>
          <w:spacing w:val="-3"/>
          <w:sz w:val="20"/>
        </w:rPr>
        <w:t>. godine</w:t>
      </w:r>
      <w:r w:rsidR="0054799B" w:rsidRPr="000C5447">
        <w:rPr>
          <w:rFonts w:cs="Arial"/>
          <w:spacing w:val="-3"/>
          <w:sz w:val="20"/>
        </w:rPr>
        <w:t xml:space="preserve"> koje iznose </w:t>
      </w:r>
      <w:r w:rsidR="0054799B" w:rsidRPr="00B2419C">
        <w:rPr>
          <w:rFonts w:cs="Arial"/>
          <w:spacing w:val="-3"/>
          <w:sz w:val="20"/>
        </w:rPr>
        <w:t>1</w:t>
      </w:r>
      <w:r w:rsidR="00EF4E2A">
        <w:rPr>
          <w:rFonts w:cs="Arial"/>
          <w:spacing w:val="-3"/>
          <w:sz w:val="20"/>
        </w:rPr>
        <w:t>,</w:t>
      </w:r>
      <w:r w:rsidR="000C5447" w:rsidRPr="00B2419C">
        <w:rPr>
          <w:rFonts w:cs="Arial"/>
          <w:spacing w:val="-3"/>
          <w:sz w:val="20"/>
        </w:rPr>
        <w:t>2</w:t>
      </w:r>
      <w:r w:rsidR="0054799B" w:rsidRPr="00B2419C">
        <w:rPr>
          <w:rFonts w:cs="Arial"/>
          <w:spacing w:val="-3"/>
          <w:sz w:val="20"/>
        </w:rPr>
        <w:t xml:space="preserve"> mil</w:t>
      </w:r>
      <w:r w:rsidR="00EF4E2A">
        <w:rPr>
          <w:rFonts w:cs="Arial"/>
          <w:spacing w:val="-3"/>
          <w:sz w:val="20"/>
        </w:rPr>
        <w:t>ijarda</w:t>
      </w:r>
      <w:r w:rsidR="0054799B" w:rsidRPr="00B2419C">
        <w:rPr>
          <w:rFonts w:cs="Arial"/>
          <w:spacing w:val="-3"/>
          <w:sz w:val="20"/>
        </w:rPr>
        <w:t xml:space="preserve"> eura</w:t>
      </w:r>
      <w:r w:rsidR="003451CC" w:rsidRPr="00B2419C">
        <w:rPr>
          <w:rFonts w:cs="Arial"/>
          <w:spacing w:val="-3"/>
          <w:sz w:val="20"/>
        </w:rPr>
        <w:t xml:space="preserve"> </w:t>
      </w:r>
      <w:r w:rsidR="0054799B" w:rsidRPr="00B2419C">
        <w:rPr>
          <w:rFonts w:cs="Arial"/>
          <w:spacing w:val="-3"/>
          <w:sz w:val="20"/>
        </w:rPr>
        <w:t xml:space="preserve">(prosječno godišnje </w:t>
      </w:r>
      <w:r w:rsidR="000E4BA5" w:rsidRPr="00B2419C">
        <w:rPr>
          <w:rFonts w:cs="Arial"/>
          <w:spacing w:val="-3"/>
          <w:sz w:val="20"/>
        </w:rPr>
        <w:t xml:space="preserve">iznosi </w:t>
      </w:r>
      <w:r w:rsidR="000C5447" w:rsidRPr="00B2419C">
        <w:rPr>
          <w:rFonts w:cs="Arial"/>
          <w:spacing w:val="-3"/>
          <w:sz w:val="20"/>
        </w:rPr>
        <w:t>401</w:t>
      </w:r>
      <w:r w:rsidR="000E4BA5" w:rsidRPr="00B2419C">
        <w:rPr>
          <w:rFonts w:cs="Arial"/>
          <w:spacing w:val="-3"/>
          <w:sz w:val="20"/>
        </w:rPr>
        <w:t xml:space="preserve"> milijun eura), </w:t>
      </w:r>
    </w:p>
    <w:p w14:paraId="221864EF" w14:textId="33BAF365" w:rsidR="00697070" w:rsidRPr="00B2419C" w:rsidRDefault="00C92A32" w:rsidP="00E62069">
      <w:pPr>
        <w:numPr>
          <w:ilvl w:val="0"/>
          <w:numId w:val="36"/>
        </w:numPr>
        <w:spacing w:after="0" w:line="240" w:lineRule="auto"/>
        <w:ind w:left="709" w:hanging="425"/>
        <w:jc w:val="both"/>
        <w:rPr>
          <w:rFonts w:cs="Arial"/>
          <w:spacing w:val="-3"/>
          <w:sz w:val="20"/>
        </w:rPr>
      </w:pPr>
      <w:r w:rsidRPr="00B2419C">
        <w:rPr>
          <w:rFonts w:cs="Arial"/>
          <w:bCs/>
          <w:spacing w:val="-3"/>
          <w:sz w:val="20"/>
        </w:rPr>
        <w:t xml:space="preserve">planirana rezerva likvidnosti prosječno godišnje iznosi </w:t>
      </w:r>
      <w:r w:rsidR="00B2419C" w:rsidRPr="00B2419C">
        <w:rPr>
          <w:rFonts w:cs="Arial"/>
          <w:bCs/>
          <w:spacing w:val="-3"/>
          <w:sz w:val="20"/>
        </w:rPr>
        <w:t>405</w:t>
      </w:r>
      <w:r w:rsidR="004D5F15" w:rsidRPr="00B2419C">
        <w:rPr>
          <w:rFonts w:cs="Arial"/>
          <w:bCs/>
          <w:spacing w:val="-3"/>
          <w:sz w:val="20"/>
        </w:rPr>
        <w:t xml:space="preserve"> milijuna eura </w:t>
      </w:r>
      <w:r w:rsidR="007648DD" w:rsidRPr="00B2419C">
        <w:rPr>
          <w:rFonts w:cs="Arial"/>
          <w:spacing w:val="-3"/>
          <w:sz w:val="20"/>
        </w:rPr>
        <w:t>(</w:t>
      </w:r>
      <w:r w:rsidR="009C50D4" w:rsidRPr="00B2419C">
        <w:rPr>
          <w:rFonts w:cs="Arial"/>
          <w:spacing w:val="-3"/>
          <w:sz w:val="20"/>
        </w:rPr>
        <w:t>1</w:t>
      </w:r>
      <w:r w:rsidR="004D5F15" w:rsidRPr="00B2419C">
        <w:rPr>
          <w:rFonts w:cs="Arial"/>
          <w:spacing w:val="-3"/>
          <w:sz w:val="20"/>
        </w:rPr>
        <w:t>0</w:t>
      </w:r>
      <w:r w:rsidRPr="00B2419C">
        <w:rPr>
          <w:rFonts w:cs="Arial"/>
          <w:spacing w:val="-3"/>
          <w:sz w:val="20"/>
        </w:rPr>
        <w:t>% neto i</w:t>
      </w:r>
      <w:r w:rsidR="00582D67" w:rsidRPr="00B2419C">
        <w:rPr>
          <w:rFonts w:cs="Arial"/>
          <w:spacing w:val="-3"/>
          <w:sz w:val="20"/>
        </w:rPr>
        <w:t>movine)</w:t>
      </w:r>
      <w:r w:rsidR="007648DD" w:rsidRPr="00B2419C">
        <w:rPr>
          <w:rFonts w:cs="Arial"/>
          <w:spacing w:val="-3"/>
          <w:sz w:val="20"/>
        </w:rPr>
        <w:t>, u razdoblju od 20</w:t>
      </w:r>
      <w:r w:rsidR="000E4BA5" w:rsidRPr="00B2419C">
        <w:rPr>
          <w:rFonts w:cs="Arial"/>
          <w:spacing w:val="-3"/>
          <w:sz w:val="20"/>
        </w:rPr>
        <w:t>2</w:t>
      </w:r>
      <w:r w:rsidR="00B2419C" w:rsidRPr="00B2419C">
        <w:rPr>
          <w:rFonts w:cs="Arial"/>
          <w:spacing w:val="-3"/>
          <w:sz w:val="20"/>
        </w:rPr>
        <w:t>1</w:t>
      </w:r>
      <w:r w:rsidR="007648DD" w:rsidRPr="00B2419C">
        <w:rPr>
          <w:rFonts w:cs="Arial"/>
          <w:spacing w:val="-3"/>
          <w:sz w:val="20"/>
        </w:rPr>
        <w:t>. do 20</w:t>
      </w:r>
      <w:r w:rsidR="009C50D4" w:rsidRPr="00B2419C">
        <w:rPr>
          <w:rFonts w:cs="Arial"/>
          <w:spacing w:val="-3"/>
          <w:sz w:val="20"/>
        </w:rPr>
        <w:t>2</w:t>
      </w:r>
      <w:r w:rsidR="00B2419C" w:rsidRPr="00B2419C">
        <w:rPr>
          <w:rFonts w:cs="Arial"/>
          <w:spacing w:val="-3"/>
          <w:sz w:val="20"/>
        </w:rPr>
        <w:t>3</w:t>
      </w:r>
      <w:r w:rsidRPr="00B2419C">
        <w:rPr>
          <w:rFonts w:cs="Arial"/>
          <w:spacing w:val="-3"/>
          <w:sz w:val="20"/>
        </w:rPr>
        <w:t>. godi</w:t>
      </w:r>
      <w:r w:rsidR="007648DD" w:rsidRPr="00B2419C">
        <w:rPr>
          <w:rFonts w:cs="Arial"/>
          <w:spacing w:val="-3"/>
          <w:sz w:val="20"/>
        </w:rPr>
        <w:t xml:space="preserve">ne prosječno godišnje iznosi </w:t>
      </w:r>
      <w:r w:rsidR="00B2419C" w:rsidRPr="00B2419C">
        <w:rPr>
          <w:rFonts w:cs="Arial"/>
          <w:bCs/>
          <w:spacing w:val="-3"/>
          <w:sz w:val="20"/>
        </w:rPr>
        <w:t>492</w:t>
      </w:r>
      <w:r w:rsidR="004D5F15" w:rsidRPr="00B2419C">
        <w:rPr>
          <w:rFonts w:cs="Arial"/>
          <w:bCs/>
          <w:spacing w:val="-3"/>
          <w:sz w:val="20"/>
        </w:rPr>
        <w:t xml:space="preserve"> milijuna eura </w:t>
      </w:r>
      <w:r w:rsidR="007648DD" w:rsidRPr="00B2419C">
        <w:rPr>
          <w:rFonts w:cs="Arial"/>
          <w:spacing w:val="-3"/>
          <w:sz w:val="20"/>
        </w:rPr>
        <w:t>(1</w:t>
      </w:r>
      <w:r w:rsidR="00B2419C" w:rsidRPr="00B2419C">
        <w:rPr>
          <w:rFonts w:cs="Arial"/>
          <w:spacing w:val="-3"/>
          <w:sz w:val="20"/>
        </w:rPr>
        <w:t>3</w:t>
      </w:r>
      <w:r w:rsidRPr="00B2419C">
        <w:rPr>
          <w:rFonts w:cs="Arial"/>
          <w:spacing w:val="-3"/>
          <w:sz w:val="20"/>
        </w:rPr>
        <w:t>% neto imovine).</w:t>
      </w:r>
    </w:p>
    <w:p w14:paraId="13F44082" w14:textId="79E446EA" w:rsidR="00D40948" w:rsidRPr="004C06C7" w:rsidRDefault="00C92A32" w:rsidP="00401F3D">
      <w:pPr>
        <w:numPr>
          <w:ilvl w:val="0"/>
          <w:numId w:val="36"/>
        </w:numPr>
        <w:spacing w:after="0" w:line="240" w:lineRule="auto"/>
        <w:ind w:left="709" w:hanging="425"/>
        <w:jc w:val="both"/>
        <w:rPr>
          <w:rFonts w:cs="Arial"/>
          <w:bCs/>
          <w:spacing w:val="-3"/>
          <w:sz w:val="20"/>
        </w:rPr>
      </w:pPr>
      <w:r w:rsidRPr="004C06C7">
        <w:rPr>
          <w:rFonts w:cs="Arial"/>
          <w:spacing w:val="-3"/>
          <w:sz w:val="20"/>
        </w:rPr>
        <w:t xml:space="preserve">planirana uplata u </w:t>
      </w:r>
      <w:r w:rsidRPr="004C06C7">
        <w:rPr>
          <w:rFonts w:cs="Arial"/>
          <w:bCs/>
          <w:spacing w:val="-3"/>
          <w:sz w:val="20"/>
        </w:rPr>
        <w:t xml:space="preserve">osnivački kapital </w:t>
      </w:r>
      <w:r w:rsidR="007F0E10" w:rsidRPr="004C06C7">
        <w:rPr>
          <w:rFonts w:cs="Arial"/>
          <w:bCs/>
          <w:spacing w:val="-3"/>
          <w:sz w:val="20"/>
        </w:rPr>
        <w:t xml:space="preserve">za razdoblje od 2024. do 2026. godine </w:t>
      </w:r>
      <w:r w:rsidR="004127D0" w:rsidRPr="004C06C7">
        <w:rPr>
          <w:rFonts w:cs="Arial"/>
          <w:spacing w:val="-3"/>
          <w:sz w:val="20"/>
        </w:rPr>
        <w:t xml:space="preserve">iznosi </w:t>
      </w:r>
      <w:r w:rsidR="006035A0" w:rsidRPr="004C06C7">
        <w:rPr>
          <w:rFonts w:cs="Arial"/>
          <w:spacing w:val="-3"/>
          <w:sz w:val="20"/>
        </w:rPr>
        <w:t>1</w:t>
      </w:r>
      <w:r w:rsidR="006D4F7C" w:rsidRPr="004C06C7">
        <w:rPr>
          <w:rFonts w:cs="Arial"/>
          <w:spacing w:val="-3"/>
          <w:sz w:val="20"/>
        </w:rPr>
        <w:t>3</w:t>
      </w:r>
      <w:r w:rsidRPr="004C06C7">
        <w:rPr>
          <w:rFonts w:cs="Arial"/>
          <w:spacing w:val="-3"/>
          <w:sz w:val="20"/>
        </w:rPr>
        <w:t>,</w:t>
      </w:r>
      <w:r w:rsidR="006D4F7C" w:rsidRPr="004C06C7">
        <w:rPr>
          <w:rFonts w:cs="Arial"/>
          <w:spacing w:val="-3"/>
          <w:sz w:val="20"/>
        </w:rPr>
        <w:t>0</w:t>
      </w:r>
      <w:r w:rsidRPr="004C06C7">
        <w:rPr>
          <w:rFonts w:cs="Arial"/>
          <w:spacing w:val="-3"/>
          <w:sz w:val="20"/>
        </w:rPr>
        <w:t xml:space="preserve"> milijuna </w:t>
      </w:r>
      <w:r w:rsidR="006035A0" w:rsidRPr="004C06C7">
        <w:rPr>
          <w:rFonts w:cs="Arial"/>
          <w:spacing w:val="-3"/>
          <w:sz w:val="20"/>
        </w:rPr>
        <w:t>eura</w:t>
      </w:r>
      <w:r w:rsidR="004C06C7" w:rsidRPr="004C06C7">
        <w:rPr>
          <w:rFonts w:cs="Arial"/>
          <w:spacing w:val="-3"/>
          <w:sz w:val="20"/>
        </w:rPr>
        <w:t>.</w:t>
      </w:r>
      <w:r w:rsidR="007F0E10" w:rsidRPr="004C06C7">
        <w:rPr>
          <w:rFonts w:cs="Arial"/>
          <w:spacing w:val="-3"/>
          <w:sz w:val="20"/>
        </w:rPr>
        <w:t xml:space="preserve"> </w:t>
      </w:r>
    </w:p>
    <w:p w14:paraId="458183EC" w14:textId="77777777" w:rsidR="004C06C7" w:rsidRPr="004C06C7" w:rsidRDefault="004C06C7" w:rsidP="004C06C7">
      <w:pPr>
        <w:spacing w:after="0" w:line="240" w:lineRule="auto"/>
        <w:ind w:left="709"/>
        <w:jc w:val="both"/>
        <w:rPr>
          <w:rFonts w:cs="Arial"/>
          <w:bCs/>
          <w:spacing w:val="-3"/>
          <w:sz w:val="20"/>
        </w:rPr>
      </w:pPr>
    </w:p>
    <w:p w14:paraId="1C5B7227" w14:textId="77777777" w:rsidR="00D40948" w:rsidRPr="005504D6" w:rsidRDefault="00D40948" w:rsidP="00D40948">
      <w:pPr>
        <w:spacing w:after="0" w:line="240" w:lineRule="auto"/>
        <w:jc w:val="both"/>
        <w:rPr>
          <w:rFonts w:cs="Arial"/>
          <w:b/>
          <w:bCs/>
          <w:spacing w:val="-3"/>
          <w:sz w:val="20"/>
        </w:rPr>
      </w:pPr>
      <w:r w:rsidRPr="005504D6">
        <w:rPr>
          <w:rFonts w:cs="Arial"/>
          <w:b/>
          <w:bCs/>
          <w:spacing w:val="-3"/>
          <w:sz w:val="20"/>
        </w:rPr>
        <w:t>Prihodi od kamata</w:t>
      </w:r>
      <w:r w:rsidR="00C92A32" w:rsidRPr="005504D6">
        <w:rPr>
          <w:rFonts w:cs="Arial"/>
          <w:b/>
          <w:bCs/>
          <w:spacing w:val="-3"/>
          <w:sz w:val="20"/>
        </w:rPr>
        <w:t>:</w:t>
      </w:r>
    </w:p>
    <w:p w14:paraId="7B36FB1C" w14:textId="104639F1" w:rsidR="00D40948" w:rsidRPr="005504D6" w:rsidRDefault="0020711B" w:rsidP="00A408DE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cs="Arial"/>
          <w:bCs/>
          <w:spacing w:val="-3"/>
          <w:sz w:val="20"/>
        </w:rPr>
      </w:pPr>
      <w:r w:rsidRPr="005504D6">
        <w:rPr>
          <w:rFonts w:cs="Arial"/>
          <w:bCs/>
          <w:spacing w:val="-3"/>
          <w:sz w:val="20"/>
        </w:rPr>
        <w:t>p</w:t>
      </w:r>
      <w:r w:rsidR="00CA2481" w:rsidRPr="005504D6">
        <w:rPr>
          <w:rFonts w:cs="Arial"/>
          <w:bCs/>
          <w:spacing w:val="-3"/>
          <w:sz w:val="20"/>
        </w:rPr>
        <w:t xml:space="preserve">rosječno </w:t>
      </w:r>
      <w:r w:rsidRPr="005504D6">
        <w:rPr>
          <w:rFonts w:cs="Arial"/>
          <w:bCs/>
          <w:spacing w:val="-3"/>
          <w:sz w:val="20"/>
        </w:rPr>
        <w:t xml:space="preserve">godišnje iznose </w:t>
      </w:r>
      <w:r w:rsidR="002A4A43">
        <w:rPr>
          <w:rFonts w:cs="Arial"/>
          <w:bCs/>
          <w:spacing w:val="-3"/>
          <w:sz w:val="20"/>
        </w:rPr>
        <w:t>116</w:t>
      </w:r>
      <w:r w:rsidR="00485B88">
        <w:rPr>
          <w:rFonts w:cs="Arial"/>
          <w:bCs/>
          <w:spacing w:val="-3"/>
          <w:sz w:val="20"/>
        </w:rPr>
        <w:t>,</w:t>
      </w:r>
      <w:r w:rsidR="002A4A43">
        <w:rPr>
          <w:rFonts w:cs="Arial"/>
          <w:bCs/>
          <w:spacing w:val="-3"/>
          <w:sz w:val="20"/>
        </w:rPr>
        <w:t>9</w:t>
      </w:r>
      <w:r w:rsidR="00485B88">
        <w:rPr>
          <w:rFonts w:cs="Arial"/>
          <w:bCs/>
          <w:spacing w:val="-3"/>
          <w:sz w:val="20"/>
        </w:rPr>
        <w:t xml:space="preserve"> </w:t>
      </w:r>
      <w:r w:rsidRPr="005504D6">
        <w:rPr>
          <w:rFonts w:cs="Arial"/>
          <w:bCs/>
          <w:spacing w:val="-3"/>
          <w:sz w:val="20"/>
        </w:rPr>
        <w:t xml:space="preserve">milijun </w:t>
      </w:r>
      <w:r w:rsidR="00485B88">
        <w:rPr>
          <w:rFonts w:cs="Arial"/>
          <w:bCs/>
          <w:spacing w:val="-3"/>
          <w:sz w:val="20"/>
        </w:rPr>
        <w:t>eura</w:t>
      </w:r>
      <w:r w:rsidR="009552B2" w:rsidRPr="005504D6">
        <w:rPr>
          <w:rFonts w:cs="Arial"/>
          <w:bCs/>
          <w:spacing w:val="-3"/>
          <w:sz w:val="20"/>
        </w:rPr>
        <w:t xml:space="preserve"> </w:t>
      </w:r>
      <w:r w:rsidRPr="005504D6">
        <w:rPr>
          <w:rFonts w:cs="Arial"/>
          <w:bCs/>
          <w:spacing w:val="-3"/>
          <w:sz w:val="20"/>
        </w:rPr>
        <w:t xml:space="preserve">što </w:t>
      </w:r>
      <w:r w:rsidR="00B9268F" w:rsidRPr="005504D6">
        <w:rPr>
          <w:rFonts w:cs="Arial"/>
          <w:bCs/>
          <w:spacing w:val="-3"/>
          <w:sz w:val="20"/>
        </w:rPr>
        <w:t xml:space="preserve">je </w:t>
      </w:r>
      <w:r w:rsidR="002A4A43">
        <w:rPr>
          <w:rFonts w:cs="Arial"/>
          <w:bCs/>
          <w:spacing w:val="-3"/>
          <w:sz w:val="20"/>
        </w:rPr>
        <w:t>31</w:t>
      </w:r>
      <w:r w:rsidR="00B9268F" w:rsidRPr="005504D6">
        <w:rPr>
          <w:rFonts w:cs="Arial"/>
          <w:bCs/>
          <w:spacing w:val="-3"/>
          <w:sz w:val="20"/>
        </w:rPr>
        <w:t xml:space="preserve">% </w:t>
      </w:r>
      <w:r w:rsidR="002A4A43">
        <w:rPr>
          <w:rFonts w:cs="Arial"/>
          <w:bCs/>
          <w:spacing w:val="-3"/>
          <w:sz w:val="20"/>
        </w:rPr>
        <w:t>više</w:t>
      </w:r>
      <w:r w:rsidR="00B9268F" w:rsidRPr="005504D6">
        <w:rPr>
          <w:rFonts w:cs="Arial"/>
          <w:bCs/>
          <w:spacing w:val="-3"/>
          <w:sz w:val="20"/>
        </w:rPr>
        <w:t xml:space="preserve"> od </w:t>
      </w:r>
      <w:r w:rsidRPr="005504D6">
        <w:rPr>
          <w:rFonts w:cs="Arial"/>
          <w:bCs/>
          <w:spacing w:val="-3"/>
          <w:sz w:val="20"/>
        </w:rPr>
        <w:t>ostvaren</w:t>
      </w:r>
      <w:r w:rsidR="00374307" w:rsidRPr="005504D6">
        <w:rPr>
          <w:rFonts w:cs="Arial"/>
          <w:bCs/>
          <w:spacing w:val="-3"/>
          <w:sz w:val="20"/>
        </w:rPr>
        <w:t>og</w:t>
      </w:r>
      <w:r w:rsidRPr="005504D6">
        <w:rPr>
          <w:rFonts w:cs="Arial"/>
          <w:bCs/>
          <w:spacing w:val="-3"/>
          <w:sz w:val="20"/>
        </w:rPr>
        <w:t xml:space="preserve"> prosječn</w:t>
      </w:r>
      <w:r w:rsidR="00374307" w:rsidRPr="005504D6">
        <w:rPr>
          <w:rFonts w:cs="Arial"/>
          <w:bCs/>
          <w:spacing w:val="-3"/>
          <w:sz w:val="20"/>
        </w:rPr>
        <w:t>og</w:t>
      </w:r>
      <w:r w:rsidRPr="005504D6">
        <w:rPr>
          <w:rFonts w:cs="Arial"/>
          <w:bCs/>
          <w:spacing w:val="-3"/>
          <w:sz w:val="20"/>
        </w:rPr>
        <w:t xml:space="preserve"> iznos</w:t>
      </w:r>
      <w:r w:rsidR="00374307" w:rsidRPr="005504D6">
        <w:rPr>
          <w:rFonts w:cs="Arial"/>
          <w:bCs/>
          <w:spacing w:val="-3"/>
          <w:sz w:val="20"/>
        </w:rPr>
        <w:t>a</w:t>
      </w:r>
      <w:r w:rsidRPr="005504D6">
        <w:rPr>
          <w:rFonts w:cs="Arial"/>
          <w:bCs/>
          <w:spacing w:val="-3"/>
          <w:sz w:val="20"/>
        </w:rPr>
        <w:t xml:space="preserve"> u trogodišnjem razdoblju 20</w:t>
      </w:r>
      <w:r w:rsidR="00B9268F" w:rsidRPr="005504D6">
        <w:rPr>
          <w:rFonts w:cs="Arial"/>
          <w:bCs/>
          <w:spacing w:val="-3"/>
          <w:sz w:val="20"/>
        </w:rPr>
        <w:t>2</w:t>
      </w:r>
      <w:r w:rsidR="002A4A43">
        <w:rPr>
          <w:rFonts w:cs="Arial"/>
          <w:bCs/>
          <w:spacing w:val="-3"/>
          <w:sz w:val="20"/>
        </w:rPr>
        <w:t>1</w:t>
      </w:r>
      <w:r w:rsidRPr="005504D6">
        <w:rPr>
          <w:rFonts w:cs="Arial"/>
          <w:bCs/>
          <w:spacing w:val="-3"/>
          <w:sz w:val="20"/>
        </w:rPr>
        <w:t>.-202</w:t>
      </w:r>
      <w:r w:rsidR="002A4A43">
        <w:rPr>
          <w:rFonts w:cs="Arial"/>
          <w:bCs/>
          <w:spacing w:val="-3"/>
          <w:sz w:val="20"/>
        </w:rPr>
        <w:t>3</w:t>
      </w:r>
      <w:r w:rsidR="000E190A" w:rsidRPr="005504D6">
        <w:rPr>
          <w:rFonts w:cs="Arial"/>
          <w:bCs/>
          <w:spacing w:val="-3"/>
          <w:sz w:val="20"/>
        </w:rPr>
        <w:t>.</w:t>
      </w:r>
      <w:r w:rsidR="001A6F93" w:rsidRPr="005504D6">
        <w:rPr>
          <w:rFonts w:cs="Arial"/>
          <w:bCs/>
          <w:spacing w:val="-3"/>
          <w:sz w:val="20"/>
        </w:rPr>
        <w:t xml:space="preserve"> (</w:t>
      </w:r>
      <w:r w:rsidR="00485B88">
        <w:rPr>
          <w:rFonts w:cs="Arial"/>
          <w:bCs/>
          <w:spacing w:val="-3"/>
          <w:sz w:val="20"/>
        </w:rPr>
        <w:t>8</w:t>
      </w:r>
      <w:r w:rsidR="002A4A43">
        <w:rPr>
          <w:rFonts w:cs="Arial"/>
          <w:bCs/>
          <w:spacing w:val="-3"/>
          <w:sz w:val="20"/>
        </w:rPr>
        <w:t>9</w:t>
      </w:r>
      <w:r w:rsidR="000E190A" w:rsidRPr="005504D6">
        <w:rPr>
          <w:rFonts w:cs="Arial"/>
          <w:bCs/>
          <w:spacing w:val="-3"/>
          <w:sz w:val="20"/>
        </w:rPr>
        <w:t>,</w:t>
      </w:r>
      <w:r w:rsidR="002A4A43">
        <w:rPr>
          <w:rFonts w:cs="Arial"/>
          <w:bCs/>
          <w:spacing w:val="-3"/>
          <w:sz w:val="20"/>
        </w:rPr>
        <w:t>4</w:t>
      </w:r>
      <w:r w:rsidRPr="005504D6">
        <w:rPr>
          <w:rFonts w:cs="Arial"/>
          <w:bCs/>
          <w:spacing w:val="-3"/>
          <w:sz w:val="20"/>
        </w:rPr>
        <w:t xml:space="preserve"> milijuna </w:t>
      </w:r>
      <w:r w:rsidR="00C0433E">
        <w:rPr>
          <w:rFonts w:cs="Arial"/>
          <w:bCs/>
          <w:spacing w:val="-3"/>
          <w:sz w:val="20"/>
        </w:rPr>
        <w:t>eura</w:t>
      </w:r>
      <w:r w:rsidR="001A6F93" w:rsidRPr="005504D6">
        <w:rPr>
          <w:rFonts w:cs="Arial"/>
          <w:bCs/>
          <w:spacing w:val="-3"/>
          <w:sz w:val="20"/>
        </w:rPr>
        <w:t>)</w:t>
      </w:r>
      <w:r w:rsidRPr="005504D6">
        <w:rPr>
          <w:rFonts w:cs="Arial"/>
          <w:bCs/>
          <w:spacing w:val="-3"/>
          <w:sz w:val="20"/>
        </w:rPr>
        <w:t xml:space="preserve">, </w:t>
      </w:r>
      <w:r w:rsidR="007A3470" w:rsidRPr="005504D6">
        <w:rPr>
          <w:rFonts w:cs="Arial"/>
          <w:bCs/>
          <w:spacing w:val="-3"/>
          <w:sz w:val="20"/>
        </w:rPr>
        <w:t xml:space="preserve">a </w:t>
      </w:r>
      <w:r w:rsidRPr="005504D6">
        <w:rPr>
          <w:rFonts w:cs="Arial"/>
          <w:bCs/>
          <w:spacing w:val="-3"/>
          <w:sz w:val="20"/>
        </w:rPr>
        <w:t>rezultat</w:t>
      </w:r>
      <w:r w:rsidR="007A3470" w:rsidRPr="005504D6">
        <w:rPr>
          <w:rFonts w:cs="Arial"/>
          <w:bCs/>
          <w:spacing w:val="-3"/>
          <w:sz w:val="20"/>
        </w:rPr>
        <w:t xml:space="preserve"> je</w:t>
      </w:r>
      <w:r w:rsidR="004D7017">
        <w:rPr>
          <w:rFonts w:cs="Arial"/>
          <w:bCs/>
          <w:spacing w:val="-3"/>
          <w:sz w:val="20"/>
        </w:rPr>
        <w:t xml:space="preserve"> rasta kreditnih aktiv</w:t>
      </w:r>
      <w:r w:rsidR="00CF3D2E">
        <w:rPr>
          <w:rFonts w:cs="Arial"/>
          <w:bCs/>
          <w:spacing w:val="-3"/>
          <w:sz w:val="20"/>
        </w:rPr>
        <w:t>n</w:t>
      </w:r>
      <w:r w:rsidR="004D7017">
        <w:rPr>
          <w:rFonts w:cs="Arial"/>
          <w:bCs/>
          <w:spacing w:val="-3"/>
          <w:sz w:val="20"/>
        </w:rPr>
        <w:t>osti i rasta kamatnih stopa</w:t>
      </w:r>
      <w:r w:rsidR="004C06C7">
        <w:rPr>
          <w:rFonts w:cs="Arial"/>
          <w:bCs/>
          <w:spacing w:val="-3"/>
          <w:sz w:val="20"/>
        </w:rPr>
        <w:t>.</w:t>
      </w:r>
    </w:p>
    <w:p w14:paraId="1222225D" w14:textId="77777777" w:rsidR="00374307" w:rsidRPr="005504D6" w:rsidRDefault="00374307" w:rsidP="00374307">
      <w:pPr>
        <w:pStyle w:val="ListParagraph"/>
        <w:spacing w:after="0" w:line="240" w:lineRule="auto"/>
        <w:jc w:val="both"/>
        <w:rPr>
          <w:rFonts w:cs="Arial"/>
          <w:bCs/>
          <w:spacing w:val="-3"/>
          <w:sz w:val="20"/>
        </w:rPr>
      </w:pPr>
    </w:p>
    <w:p w14:paraId="5A9ED13C" w14:textId="77777777" w:rsidR="007B7FD0" w:rsidRPr="00CF5E94" w:rsidRDefault="007B7FD0" w:rsidP="00BA3052">
      <w:pPr>
        <w:numPr>
          <w:ilvl w:val="0"/>
          <w:numId w:val="32"/>
        </w:numPr>
        <w:tabs>
          <w:tab w:val="left" w:pos="698"/>
        </w:tabs>
        <w:spacing w:after="0" w:line="240" w:lineRule="auto"/>
        <w:ind w:hanging="436"/>
        <w:jc w:val="both"/>
        <w:rPr>
          <w:rFonts w:asciiTheme="minorHAnsi" w:hAnsiTheme="minorHAnsi" w:cs="Calibri"/>
          <w:b/>
          <w:bCs/>
          <w:spacing w:val="-3"/>
          <w:sz w:val="24"/>
          <w:szCs w:val="24"/>
          <w:highlight w:val="yellow"/>
        </w:rPr>
        <w:sectPr w:rsidR="007B7FD0" w:rsidRPr="00CF5E94" w:rsidSect="00E8484F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19CDC098" w14:textId="77777777" w:rsidR="00CC12AA" w:rsidRPr="005504D6" w:rsidRDefault="00CC12AA" w:rsidP="007125F8">
      <w:pPr>
        <w:spacing w:after="0" w:line="240" w:lineRule="auto"/>
        <w:jc w:val="both"/>
        <w:rPr>
          <w:rFonts w:cs="Arial"/>
          <w:spacing w:val="-3"/>
          <w:sz w:val="20"/>
        </w:rPr>
      </w:pPr>
      <w:r w:rsidRPr="005504D6">
        <w:rPr>
          <w:rFonts w:cs="Arial"/>
          <w:b/>
          <w:bCs/>
          <w:spacing w:val="-3"/>
          <w:sz w:val="20"/>
        </w:rPr>
        <w:lastRenderedPageBreak/>
        <w:t>Rashodi od kamata</w:t>
      </w:r>
      <w:r w:rsidR="00C92A32" w:rsidRPr="005504D6">
        <w:rPr>
          <w:rFonts w:cs="Arial"/>
          <w:b/>
          <w:bCs/>
          <w:spacing w:val="-3"/>
          <w:sz w:val="20"/>
        </w:rPr>
        <w:t>:</w:t>
      </w:r>
    </w:p>
    <w:p w14:paraId="62F3FBF2" w14:textId="58548152" w:rsidR="006A5954" w:rsidRPr="005504D6" w:rsidRDefault="00C92A32">
      <w:pPr>
        <w:pStyle w:val="ListParagraph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cs="Arial"/>
          <w:sz w:val="20"/>
        </w:rPr>
      </w:pPr>
      <w:r w:rsidRPr="006A5954">
        <w:rPr>
          <w:rFonts w:cs="Arial"/>
          <w:spacing w:val="-3"/>
          <w:sz w:val="20"/>
        </w:rPr>
        <w:t>prosječni godišnji izn</w:t>
      </w:r>
      <w:r w:rsidR="00CA2481" w:rsidRPr="006A5954">
        <w:rPr>
          <w:rFonts w:cs="Arial"/>
          <w:spacing w:val="-3"/>
          <w:sz w:val="20"/>
        </w:rPr>
        <w:t>os rashoda od kamata iznosi</w:t>
      </w:r>
      <w:r w:rsidR="00447B2E" w:rsidRPr="006A5954">
        <w:rPr>
          <w:rFonts w:cs="Arial"/>
          <w:spacing w:val="-3"/>
          <w:sz w:val="20"/>
        </w:rPr>
        <w:t xml:space="preserve"> </w:t>
      </w:r>
      <w:r w:rsidR="002A4A43">
        <w:rPr>
          <w:rFonts w:cs="Arial"/>
          <w:spacing w:val="-3"/>
          <w:sz w:val="20"/>
        </w:rPr>
        <w:t>5</w:t>
      </w:r>
      <w:r w:rsidR="00967E16" w:rsidRPr="006A5954">
        <w:rPr>
          <w:rFonts w:cs="Arial"/>
          <w:spacing w:val="-3"/>
          <w:sz w:val="20"/>
        </w:rPr>
        <w:t>6</w:t>
      </w:r>
      <w:r w:rsidR="00431209" w:rsidRPr="006A5954">
        <w:rPr>
          <w:rFonts w:cs="Arial"/>
          <w:spacing w:val="-3"/>
          <w:sz w:val="20"/>
        </w:rPr>
        <w:t>,</w:t>
      </w:r>
      <w:r w:rsidR="002A4A43">
        <w:rPr>
          <w:rFonts w:cs="Arial"/>
          <w:spacing w:val="-3"/>
          <w:sz w:val="20"/>
        </w:rPr>
        <w:t>3</w:t>
      </w:r>
      <w:r w:rsidR="00CA2481" w:rsidRPr="006A5954">
        <w:rPr>
          <w:rFonts w:cs="Arial"/>
          <w:spacing w:val="-3"/>
          <w:sz w:val="20"/>
        </w:rPr>
        <w:t xml:space="preserve"> milijuna </w:t>
      </w:r>
      <w:r w:rsidR="00C0433E" w:rsidRPr="006A5954">
        <w:rPr>
          <w:rFonts w:cs="Arial"/>
          <w:spacing w:val="-3"/>
          <w:sz w:val="20"/>
        </w:rPr>
        <w:t>eura</w:t>
      </w:r>
      <w:r w:rsidR="00CA2481" w:rsidRPr="006A5954">
        <w:rPr>
          <w:rFonts w:cs="Arial"/>
          <w:spacing w:val="-3"/>
          <w:sz w:val="20"/>
        </w:rPr>
        <w:t xml:space="preserve"> što je za </w:t>
      </w:r>
      <w:r w:rsidR="002A4A43">
        <w:rPr>
          <w:rFonts w:cs="Arial"/>
          <w:spacing w:val="-3"/>
          <w:sz w:val="20"/>
        </w:rPr>
        <w:t>13</w:t>
      </w:r>
      <w:r w:rsidR="00967E16" w:rsidRPr="006A5954">
        <w:rPr>
          <w:rFonts w:cs="Arial"/>
          <w:spacing w:val="-3"/>
          <w:sz w:val="20"/>
        </w:rPr>
        <w:t>1</w:t>
      </w:r>
      <w:r w:rsidRPr="006A5954">
        <w:rPr>
          <w:rFonts w:cs="Arial"/>
          <w:spacing w:val="-3"/>
          <w:sz w:val="20"/>
        </w:rPr>
        <w:t xml:space="preserve">% </w:t>
      </w:r>
      <w:r w:rsidR="00431209" w:rsidRPr="006A5954">
        <w:rPr>
          <w:rFonts w:cs="Arial"/>
          <w:spacing w:val="-3"/>
          <w:sz w:val="20"/>
        </w:rPr>
        <w:t>više</w:t>
      </w:r>
      <w:r w:rsidR="00F36A3F" w:rsidRPr="006A5954">
        <w:rPr>
          <w:rFonts w:cs="Arial"/>
          <w:spacing w:val="-3"/>
          <w:sz w:val="20"/>
        </w:rPr>
        <w:t xml:space="preserve"> u odnosu na prošlo trogodišnje</w:t>
      </w:r>
      <w:r w:rsidRPr="006A5954">
        <w:rPr>
          <w:rFonts w:cs="Arial"/>
          <w:spacing w:val="-3"/>
          <w:sz w:val="20"/>
        </w:rPr>
        <w:t xml:space="preserve"> razdoblje</w:t>
      </w:r>
      <w:r w:rsidR="006A5954">
        <w:rPr>
          <w:rFonts w:cs="Arial"/>
          <w:spacing w:val="-3"/>
          <w:sz w:val="20"/>
        </w:rPr>
        <w:t>.</w:t>
      </w:r>
      <w:r w:rsidR="006A5954" w:rsidRPr="006A5954">
        <w:rPr>
          <w:rFonts w:cs="Arial"/>
          <w:spacing w:val="-3"/>
          <w:sz w:val="20"/>
        </w:rPr>
        <w:t xml:space="preserve"> </w:t>
      </w:r>
      <w:r w:rsidR="006A5954" w:rsidRPr="00C9194A">
        <w:rPr>
          <w:rFonts w:cs="Arial"/>
          <w:spacing w:val="-3"/>
          <w:sz w:val="20"/>
        </w:rPr>
        <w:t>U planskom razdoblju iskazan je trend rasta kamatnih rashoda kao rezultat projekcije zaduženja uz višu kamatnu stopu u planskim godinama</w:t>
      </w:r>
      <w:r w:rsidR="006A5954">
        <w:rPr>
          <w:rFonts w:cs="Arial"/>
          <w:spacing w:val="-3"/>
          <w:sz w:val="20"/>
        </w:rPr>
        <w:t>.</w:t>
      </w:r>
    </w:p>
    <w:p w14:paraId="2452F1C3" w14:textId="77777777" w:rsidR="00EB1185" w:rsidRPr="006A5954" w:rsidRDefault="00EB1185" w:rsidP="00B0395A">
      <w:pPr>
        <w:pStyle w:val="ListParagraph"/>
        <w:spacing w:after="0" w:line="240" w:lineRule="auto"/>
        <w:ind w:left="284"/>
        <w:jc w:val="both"/>
        <w:rPr>
          <w:rFonts w:cs="Arial"/>
          <w:spacing w:val="-3"/>
          <w:sz w:val="20"/>
        </w:rPr>
      </w:pPr>
    </w:p>
    <w:p w14:paraId="1D117FD6" w14:textId="77777777" w:rsidR="00CC12AA" w:rsidRPr="005504D6" w:rsidRDefault="00CC12AA" w:rsidP="007125F8">
      <w:pPr>
        <w:spacing w:after="0" w:line="240" w:lineRule="auto"/>
        <w:jc w:val="both"/>
        <w:rPr>
          <w:rFonts w:cs="Arial"/>
          <w:b/>
          <w:spacing w:val="-3"/>
          <w:sz w:val="20"/>
        </w:rPr>
      </w:pPr>
      <w:r w:rsidRPr="005504D6">
        <w:rPr>
          <w:rFonts w:cs="Arial"/>
          <w:b/>
          <w:spacing w:val="-3"/>
          <w:sz w:val="20"/>
        </w:rPr>
        <w:t>Gubitak od umanjenja vrijednosti i rezerviranja:</w:t>
      </w:r>
    </w:p>
    <w:p w14:paraId="5D1525B6" w14:textId="4D625909" w:rsidR="006A5954" w:rsidRPr="005504D6" w:rsidRDefault="00C92A32" w:rsidP="00B0395A">
      <w:pPr>
        <w:pStyle w:val="ListParagraph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cs="Arial"/>
          <w:spacing w:val="-3"/>
          <w:sz w:val="20"/>
        </w:rPr>
      </w:pPr>
      <w:r w:rsidRPr="006A5954">
        <w:rPr>
          <w:rFonts w:cs="Arial"/>
          <w:spacing w:val="-3"/>
          <w:sz w:val="20"/>
        </w:rPr>
        <w:t>u planskom razdoblju pros</w:t>
      </w:r>
      <w:r w:rsidR="00CA2481" w:rsidRPr="006A5954">
        <w:rPr>
          <w:rFonts w:cs="Arial"/>
          <w:spacing w:val="-3"/>
          <w:sz w:val="20"/>
        </w:rPr>
        <w:t xml:space="preserve">ječan planirani trošak iznosi </w:t>
      </w:r>
      <w:r w:rsidR="002A4A43">
        <w:rPr>
          <w:rFonts w:cs="Arial"/>
          <w:spacing w:val="-3"/>
          <w:sz w:val="20"/>
        </w:rPr>
        <w:t>4</w:t>
      </w:r>
      <w:r w:rsidR="00656DA0" w:rsidRPr="006A5954">
        <w:rPr>
          <w:rFonts w:cs="Arial"/>
          <w:spacing w:val="-3"/>
          <w:sz w:val="20"/>
        </w:rPr>
        <w:t>,</w:t>
      </w:r>
      <w:r w:rsidR="0093412A">
        <w:rPr>
          <w:rFonts w:cs="Arial"/>
          <w:spacing w:val="-3"/>
          <w:sz w:val="20"/>
        </w:rPr>
        <w:t>2</w:t>
      </w:r>
      <w:r w:rsidR="00CA2481" w:rsidRPr="006A5954">
        <w:rPr>
          <w:rFonts w:cs="Arial"/>
          <w:spacing w:val="-3"/>
          <w:sz w:val="20"/>
        </w:rPr>
        <w:t xml:space="preserve"> milijun </w:t>
      </w:r>
      <w:r w:rsidR="00C0433E" w:rsidRPr="006A5954">
        <w:rPr>
          <w:rFonts w:cs="Arial"/>
          <w:spacing w:val="-3"/>
          <w:sz w:val="20"/>
        </w:rPr>
        <w:t>eura</w:t>
      </w:r>
      <w:r w:rsidR="00CA2481" w:rsidRPr="006A5954">
        <w:rPr>
          <w:rFonts w:cs="Arial"/>
          <w:spacing w:val="-3"/>
          <w:sz w:val="20"/>
        </w:rPr>
        <w:t xml:space="preserve"> što je za </w:t>
      </w:r>
      <w:r w:rsidR="002A4A43">
        <w:rPr>
          <w:rFonts w:cs="Arial"/>
          <w:spacing w:val="-3"/>
          <w:sz w:val="20"/>
        </w:rPr>
        <w:t>7</w:t>
      </w:r>
      <w:r w:rsidR="0093412A">
        <w:rPr>
          <w:rFonts w:cs="Arial"/>
          <w:spacing w:val="-3"/>
          <w:sz w:val="20"/>
        </w:rPr>
        <w:t>9</w:t>
      </w:r>
      <w:r w:rsidRPr="006A5954">
        <w:rPr>
          <w:rFonts w:cs="Arial"/>
          <w:spacing w:val="-3"/>
          <w:sz w:val="20"/>
        </w:rPr>
        <w:t xml:space="preserve">% </w:t>
      </w:r>
      <w:r w:rsidR="004D7219" w:rsidRPr="006A5954">
        <w:rPr>
          <w:rFonts w:cs="Arial"/>
          <w:spacing w:val="-3"/>
          <w:sz w:val="20"/>
        </w:rPr>
        <w:t>manje</w:t>
      </w:r>
      <w:r w:rsidRPr="006A5954">
        <w:rPr>
          <w:rFonts w:cs="Arial"/>
          <w:spacing w:val="-3"/>
          <w:sz w:val="20"/>
        </w:rPr>
        <w:t xml:space="preserve"> </w:t>
      </w:r>
      <w:r w:rsidR="007F0E10" w:rsidRPr="006A5954">
        <w:rPr>
          <w:rFonts w:cs="Arial"/>
          <w:spacing w:val="-3"/>
          <w:sz w:val="20"/>
        </w:rPr>
        <w:t>u odnosu na prošlo trogodišnje razdoblje</w:t>
      </w:r>
      <w:r w:rsidR="007F0E10">
        <w:rPr>
          <w:rFonts w:cs="Arial"/>
          <w:spacing w:val="-3"/>
          <w:sz w:val="20"/>
        </w:rPr>
        <w:t xml:space="preserve">. </w:t>
      </w:r>
    </w:p>
    <w:p w14:paraId="217A96F6" w14:textId="77777777" w:rsidR="007125F8" w:rsidRPr="009B45AB" w:rsidRDefault="007125F8" w:rsidP="009B45AB">
      <w:pPr>
        <w:pStyle w:val="ListParagraph"/>
        <w:spacing w:after="0" w:line="240" w:lineRule="auto"/>
        <w:jc w:val="both"/>
        <w:rPr>
          <w:rFonts w:cs="Arial"/>
          <w:sz w:val="20"/>
        </w:rPr>
      </w:pPr>
    </w:p>
    <w:p w14:paraId="76FE23D2" w14:textId="77777777" w:rsidR="007125F8" w:rsidRPr="005504D6" w:rsidRDefault="007125F8" w:rsidP="007125F8">
      <w:pPr>
        <w:spacing w:after="0" w:line="240" w:lineRule="auto"/>
        <w:jc w:val="both"/>
        <w:rPr>
          <w:rFonts w:cs="Arial"/>
          <w:b/>
          <w:sz w:val="20"/>
        </w:rPr>
      </w:pPr>
      <w:r w:rsidRPr="005504D6">
        <w:rPr>
          <w:rFonts w:cs="Arial"/>
          <w:b/>
          <w:sz w:val="20"/>
        </w:rPr>
        <w:t>Planirana državna jamstva:</w:t>
      </w:r>
    </w:p>
    <w:p w14:paraId="0EB121EF" w14:textId="77777777" w:rsidR="00697449" w:rsidRPr="005504D6" w:rsidRDefault="007125F8" w:rsidP="007125F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</w:rPr>
      </w:pPr>
      <w:r w:rsidRPr="005504D6">
        <w:rPr>
          <w:rFonts w:cs="Arial"/>
          <w:sz w:val="20"/>
        </w:rPr>
        <w:t>Temeljem Zakona o HBOR-u (NN 138/06 i NN 25/13) Republika Hrvatska jamči za obveze Hrvatske banke za obnovu i razvitak bezuvjetno, neopozivo i na prvi poziv te bez izdavanja posebne jamstvene isprave.</w:t>
      </w:r>
      <w:r w:rsidR="00697449" w:rsidRPr="005504D6">
        <w:rPr>
          <w:rFonts w:cs="Arial"/>
          <w:sz w:val="20"/>
        </w:rPr>
        <w:t xml:space="preserve"> </w:t>
      </w:r>
    </w:p>
    <w:p w14:paraId="3C6F7E01" w14:textId="77777777" w:rsidR="00697449" w:rsidRPr="005504D6" w:rsidRDefault="00697449" w:rsidP="007125F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</w:rPr>
      </w:pPr>
    </w:p>
    <w:p w14:paraId="1C41BE56" w14:textId="77777777" w:rsidR="007125F8" w:rsidRPr="005504D6" w:rsidRDefault="00697449" w:rsidP="007125F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</w:rPr>
      </w:pPr>
      <w:r w:rsidRPr="005504D6">
        <w:rPr>
          <w:rFonts w:cs="Arial"/>
          <w:sz w:val="20"/>
        </w:rPr>
        <w:t>Sukladno navedenome, p</w:t>
      </w:r>
      <w:r w:rsidR="00DD6B9D" w:rsidRPr="005504D6">
        <w:rPr>
          <w:rFonts w:cs="Arial"/>
          <w:sz w:val="20"/>
        </w:rPr>
        <w:t xml:space="preserve">lanirana državna jamstva </w:t>
      </w:r>
      <w:r w:rsidRPr="005504D6">
        <w:rPr>
          <w:rFonts w:cs="Arial"/>
          <w:sz w:val="20"/>
        </w:rPr>
        <w:t xml:space="preserve">procijenjena su temeljem potreba pribavljanja sredstava na financijskim tržištima i usklađena je s projekcijama kreditnih aktivnosti HBOR-a kao i s otplatama ugovorenih zaduženja iz ranijih godina. </w:t>
      </w:r>
    </w:p>
    <w:p w14:paraId="212FB825" w14:textId="77777777" w:rsidR="00DD6B9D" w:rsidRPr="005504D6" w:rsidRDefault="00DD6B9D" w:rsidP="007125F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</w:rPr>
      </w:pPr>
    </w:p>
    <w:p w14:paraId="3EB8212F" w14:textId="65C30718" w:rsidR="007125F8" w:rsidRPr="005504D6" w:rsidRDefault="007125F8" w:rsidP="007125F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</w:rPr>
      </w:pPr>
      <w:r w:rsidRPr="005504D6">
        <w:rPr>
          <w:rFonts w:cs="Arial"/>
          <w:sz w:val="20"/>
        </w:rPr>
        <w:t>U nastavku su dane procjene iznosa državnih jamstava za zaduženja HBOR-a</w:t>
      </w:r>
      <w:r w:rsidR="00DA5051" w:rsidRPr="005504D6">
        <w:rPr>
          <w:rFonts w:cs="Arial"/>
          <w:sz w:val="20"/>
        </w:rPr>
        <w:t xml:space="preserve"> u razdoblju od 202</w:t>
      </w:r>
      <w:r w:rsidR="002A4A43">
        <w:rPr>
          <w:rFonts w:cs="Arial"/>
          <w:sz w:val="20"/>
        </w:rPr>
        <w:t>4</w:t>
      </w:r>
      <w:r w:rsidR="00DA5051" w:rsidRPr="005504D6">
        <w:rPr>
          <w:rFonts w:cs="Arial"/>
          <w:sz w:val="20"/>
        </w:rPr>
        <w:t>. do 202</w:t>
      </w:r>
      <w:r w:rsidR="002A4A43">
        <w:rPr>
          <w:rFonts w:cs="Arial"/>
          <w:sz w:val="20"/>
        </w:rPr>
        <w:t>6</w:t>
      </w:r>
      <w:r w:rsidR="00DA5051" w:rsidRPr="005504D6">
        <w:rPr>
          <w:rFonts w:cs="Arial"/>
          <w:sz w:val="20"/>
        </w:rPr>
        <w:t>. godine</w:t>
      </w:r>
      <w:r w:rsidRPr="005504D6">
        <w:rPr>
          <w:rFonts w:cs="Arial"/>
          <w:sz w:val="20"/>
        </w:rPr>
        <w:t>:</w:t>
      </w:r>
    </w:p>
    <w:p w14:paraId="38DDD553" w14:textId="3D1A5275" w:rsidR="007125F8" w:rsidRPr="005504D6" w:rsidRDefault="007125F8" w:rsidP="007125F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</w:rPr>
      </w:pPr>
      <w:r w:rsidRPr="005504D6">
        <w:rPr>
          <w:rFonts w:cs="Arial"/>
          <w:sz w:val="20"/>
        </w:rPr>
        <w:tab/>
      </w:r>
      <w:r w:rsidRPr="005504D6">
        <w:rPr>
          <w:rFonts w:cs="Arial"/>
          <w:sz w:val="20"/>
        </w:rPr>
        <w:tab/>
      </w:r>
      <w:r w:rsidRPr="005504D6">
        <w:rPr>
          <w:rFonts w:cs="Arial"/>
          <w:sz w:val="20"/>
        </w:rPr>
        <w:tab/>
      </w:r>
      <w:r w:rsidRPr="005504D6">
        <w:rPr>
          <w:rFonts w:cs="Arial"/>
          <w:sz w:val="20"/>
        </w:rPr>
        <w:tab/>
      </w:r>
      <w:r w:rsidRPr="005504D6">
        <w:rPr>
          <w:rFonts w:cs="Arial"/>
          <w:sz w:val="20"/>
        </w:rPr>
        <w:tab/>
      </w:r>
      <w:r w:rsidRPr="005504D6">
        <w:rPr>
          <w:rFonts w:cs="Arial"/>
          <w:sz w:val="20"/>
        </w:rPr>
        <w:tab/>
      </w:r>
      <w:r w:rsidRPr="005504D6">
        <w:rPr>
          <w:rFonts w:cs="Arial"/>
          <w:sz w:val="20"/>
        </w:rPr>
        <w:tab/>
      </w:r>
      <w:r w:rsidR="00DD6B9D" w:rsidRPr="005504D6">
        <w:rPr>
          <w:rFonts w:cs="Arial"/>
          <w:sz w:val="20"/>
        </w:rPr>
        <w:tab/>
      </w:r>
      <w:r w:rsidR="00DD6B9D" w:rsidRPr="005504D6">
        <w:rPr>
          <w:rFonts w:cs="Arial"/>
          <w:sz w:val="20"/>
        </w:rPr>
        <w:tab/>
      </w:r>
      <w:r w:rsidRPr="005504D6">
        <w:rPr>
          <w:rFonts w:cs="Arial"/>
          <w:sz w:val="20"/>
        </w:rPr>
        <w:tab/>
        <w:t>(u milijunima</w:t>
      </w:r>
      <w:r w:rsidR="00B85276">
        <w:rPr>
          <w:rFonts w:cs="Arial"/>
          <w:sz w:val="20"/>
        </w:rPr>
        <w:t xml:space="preserve"> eura</w:t>
      </w:r>
      <w:r w:rsidRPr="005504D6">
        <w:rPr>
          <w:rFonts w:cs="Arial"/>
          <w:sz w:val="20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603"/>
        <w:gridCol w:w="1603"/>
        <w:gridCol w:w="1603"/>
      </w:tblGrid>
      <w:tr w:rsidR="007125F8" w:rsidRPr="00804557" w14:paraId="689E0A5A" w14:textId="77777777" w:rsidTr="00A352BA">
        <w:trPr>
          <w:trHeight w:val="70"/>
          <w:jc w:val="center"/>
        </w:trPr>
        <w:tc>
          <w:tcPr>
            <w:tcW w:w="3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DB568" w14:textId="77777777" w:rsidR="007125F8" w:rsidRPr="005504D6" w:rsidRDefault="007125F8" w:rsidP="00D6113A">
            <w:pPr>
              <w:tabs>
                <w:tab w:val="left" w:pos="9540"/>
                <w:tab w:val="left" w:pos="9720"/>
              </w:tabs>
              <w:spacing w:after="0" w:line="240" w:lineRule="auto"/>
              <w:ind w:right="7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531F9" w14:textId="7FCE4087" w:rsidR="007125F8" w:rsidRPr="005504D6" w:rsidRDefault="007125F8" w:rsidP="00D6113A">
            <w:pPr>
              <w:tabs>
                <w:tab w:val="left" w:pos="9540"/>
                <w:tab w:val="left" w:pos="9720"/>
              </w:tabs>
              <w:spacing w:after="0" w:line="240" w:lineRule="auto"/>
              <w:ind w:right="74"/>
              <w:jc w:val="center"/>
              <w:rPr>
                <w:rFonts w:cs="Arial"/>
                <w:b/>
                <w:sz w:val="20"/>
              </w:rPr>
            </w:pPr>
            <w:r w:rsidRPr="005504D6">
              <w:rPr>
                <w:rFonts w:cs="Arial"/>
                <w:b/>
                <w:sz w:val="20"/>
              </w:rPr>
              <w:t>202</w:t>
            </w:r>
            <w:r w:rsidR="002A4A43">
              <w:rPr>
                <w:rFonts w:cs="Arial"/>
                <w:b/>
                <w:sz w:val="20"/>
              </w:rPr>
              <w:t>4</w:t>
            </w:r>
            <w:r w:rsidRPr="005504D6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AD31B" w14:textId="414F0653" w:rsidR="007125F8" w:rsidRPr="005504D6" w:rsidRDefault="007125F8" w:rsidP="00D6113A">
            <w:pPr>
              <w:tabs>
                <w:tab w:val="left" w:pos="9540"/>
                <w:tab w:val="left" w:pos="9720"/>
              </w:tabs>
              <w:spacing w:after="0" w:line="240" w:lineRule="auto"/>
              <w:ind w:right="74"/>
              <w:jc w:val="center"/>
              <w:rPr>
                <w:rFonts w:cs="Arial"/>
                <w:b/>
                <w:sz w:val="20"/>
              </w:rPr>
            </w:pPr>
            <w:r w:rsidRPr="005504D6">
              <w:rPr>
                <w:rFonts w:cs="Arial"/>
                <w:b/>
                <w:sz w:val="20"/>
              </w:rPr>
              <w:t>202</w:t>
            </w:r>
            <w:r w:rsidR="002A4A43">
              <w:rPr>
                <w:rFonts w:cs="Arial"/>
                <w:b/>
                <w:sz w:val="20"/>
              </w:rPr>
              <w:t>5</w:t>
            </w:r>
            <w:r w:rsidRPr="005504D6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18EC0" w14:textId="4EC02547" w:rsidR="007125F8" w:rsidRPr="005504D6" w:rsidRDefault="007125F8" w:rsidP="00D6113A">
            <w:pPr>
              <w:tabs>
                <w:tab w:val="left" w:pos="9540"/>
                <w:tab w:val="left" w:pos="9720"/>
              </w:tabs>
              <w:spacing w:after="0" w:line="240" w:lineRule="auto"/>
              <w:ind w:right="74"/>
              <w:jc w:val="center"/>
              <w:rPr>
                <w:rFonts w:cs="Arial"/>
                <w:b/>
                <w:sz w:val="20"/>
              </w:rPr>
            </w:pPr>
            <w:r w:rsidRPr="005504D6">
              <w:rPr>
                <w:rFonts w:cs="Arial"/>
                <w:b/>
                <w:sz w:val="20"/>
              </w:rPr>
              <w:t>202</w:t>
            </w:r>
            <w:r w:rsidR="002A4A43">
              <w:rPr>
                <w:rFonts w:cs="Arial"/>
                <w:b/>
                <w:sz w:val="20"/>
              </w:rPr>
              <w:t>6</w:t>
            </w:r>
            <w:r w:rsidRPr="005504D6">
              <w:rPr>
                <w:rFonts w:cs="Arial"/>
                <w:b/>
                <w:sz w:val="20"/>
              </w:rPr>
              <w:t>.</w:t>
            </w:r>
          </w:p>
        </w:tc>
      </w:tr>
      <w:tr w:rsidR="007125F8" w:rsidRPr="00804557" w14:paraId="7C53A8C7" w14:textId="77777777" w:rsidTr="00A352BA">
        <w:trPr>
          <w:trHeight w:val="70"/>
          <w:jc w:val="center"/>
        </w:trPr>
        <w:tc>
          <w:tcPr>
            <w:tcW w:w="3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01E27" w14:textId="77777777" w:rsidR="007125F8" w:rsidRPr="005504D6" w:rsidRDefault="007125F8" w:rsidP="00DD6B9D">
            <w:pPr>
              <w:tabs>
                <w:tab w:val="left" w:pos="9540"/>
                <w:tab w:val="left" w:pos="9720"/>
              </w:tabs>
              <w:spacing w:after="0" w:line="240" w:lineRule="auto"/>
              <w:rPr>
                <w:rFonts w:cs="Arial"/>
                <w:sz w:val="20"/>
              </w:rPr>
            </w:pPr>
            <w:r w:rsidRPr="005504D6">
              <w:rPr>
                <w:rFonts w:cs="Arial"/>
                <w:sz w:val="20"/>
              </w:rPr>
              <w:t>Procjena potrebnih sredstava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17085" w14:textId="3E6CDE16" w:rsidR="007125F8" w:rsidRPr="00162BDE" w:rsidRDefault="00162BDE" w:rsidP="00DD6B9D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162BDE">
              <w:rPr>
                <w:rFonts w:cs="Arial"/>
                <w:sz w:val="20"/>
              </w:rPr>
              <w:t>770,0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67A8E" w14:textId="3860131C" w:rsidR="007125F8" w:rsidRPr="00162BDE" w:rsidRDefault="00162BDE" w:rsidP="00DD6B9D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162BDE">
              <w:rPr>
                <w:rFonts w:cs="Arial"/>
                <w:sz w:val="20"/>
              </w:rPr>
              <w:t>640,0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86410" w14:textId="59088EEE" w:rsidR="007125F8" w:rsidRPr="00162BDE" w:rsidRDefault="00162BDE" w:rsidP="00DD6B9D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162BDE">
              <w:rPr>
                <w:rFonts w:cs="Arial"/>
                <w:sz w:val="20"/>
              </w:rPr>
              <w:t>440,0</w:t>
            </w:r>
          </w:p>
        </w:tc>
      </w:tr>
    </w:tbl>
    <w:p w14:paraId="307EDADF" w14:textId="77777777" w:rsidR="007125F8" w:rsidRPr="005504D6" w:rsidRDefault="007125F8" w:rsidP="007125F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</w:rPr>
      </w:pPr>
    </w:p>
    <w:p w14:paraId="0D9F6B2A" w14:textId="77777777" w:rsidR="006A1EBC" w:rsidRPr="005504D6" w:rsidRDefault="006A1EBC" w:rsidP="007125F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highlight w:val="yellow"/>
        </w:rPr>
      </w:pPr>
    </w:p>
    <w:p w14:paraId="37DEEF0B" w14:textId="77777777" w:rsidR="007125F8" w:rsidRPr="005504D6" w:rsidRDefault="006C6D44" w:rsidP="007125F8">
      <w:pPr>
        <w:spacing w:after="0" w:line="240" w:lineRule="auto"/>
        <w:jc w:val="both"/>
        <w:rPr>
          <w:rFonts w:cs="Arial"/>
          <w:b/>
          <w:sz w:val="20"/>
        </w:rPr>
      </w:pPr>
      <w:r w:rsidRPr="005504D6">
        <w:rPr>
          <w:rFonts w:cs="Arial"/>
          <w:b/>
          <w:sz w:val="20"/>
        </w:rPr>
        <w:t>Funkcija praćenja usklađenosti:</w:t>
      </w:r>
    </w:p>
    <w:p w14:paraId="7E854917" w14:textId="77777777" w:rsidR="00D6113A" w:rsidRPr="005504D6" w:rsidRDefault="00D6113A" w:rsidP="007125F8">
      <w:pPr>
        <w:spacing w:after="0" w:line="240" w:lineRule="auto"/>
        <w:jc w:val="both"/>
        <w:rPr>
          <w:rFonts w:cs="Arial"/>
          <w:sz w:val="20"/>
        </w:rPr>
      </w:pPr>
    </w:p>
    <w:p w14:paraId="5A51FE3A" w14:textId="77777777" w:rsidR="00D6113A" w:rsidRPr="005504D6" w:rsidRDefault="00D6113A" w:rsidP="00D6113A">
      <w:pPr>
        <w:spacing w:after="0" w:line="240" w:lineRule="auto"/>
        <w:jc w:val="both"/>
        <w:rPr>
          <w:rFonts w:cs="Arial"/>
          <w:sz w:val="20"/>
        </w:rPr>
      </w:pPr>
      <w:r w:rsidRPr="005504D6">
        <w:rPr>
          <w:rFonts w:cs="Arial"/>
          <w:sz w:val="20"/>
        </w:rPr>
        <w:t>Funkcija praćenja usklađenosti uspostavljena je kao neovisna i trajna funkcija. Poslovi praćenja usklađenosti uključuju utvrđivanje i procjenu rizika usklađenosti kojem je HBOR izložen ili bi mogao biti izložen, savjetovanje Uprave i drugih odgovornih osoba o načinu primjene relevantnih zakona, standarda i pravila uključujući i informiranje o aktualnostima iz tih područja.</w:t>
      </w:r>
    </w:p>
    <w:p w14:paraId="1692CF1D" w14:textId="77777777" w:rsidR="00D6113A" w:rsidRPr="005504D6" w:rsidRDefault="00D6113A" w:rsidP="00D6113A">
      <w:pPr>
        <w:spacing w:after="0" w:line="240" w:lineRule="auto"/>
        <w:jc w:val="both"/>
        <w:rPr>
          <w:rFonts w:cs="Arial"/>
          <w:sz w:val="20"/>
        </w:rPr>
      </w:pPr>
    </w:p>
    <w:p w14:paraId="19204F6C" w14:textId="77777777" w:rsidR="00D6113A" w:rsidRPr="005504D6" w:rsidRDefault="00D6113A" w:rsidP="00D6113A">
      <w:pPr>
        <w:spacing w:after="0" w:line="240" w:lineRule="auto"/>
        <w:jc w:val="both"/>
        <w:rPr>
          <w:rFonts w:cs="Arial"/>
          <w:sz w:val="20"/>
        </w:rPr>
      </w:pPr>
      <w:r w:rsidRPr="005504D6">
        <w:rPr>
          <w:rFonts w:cs="Arial"/>
          <w:sz w:val="20"/>
        </w:rPr>
        <w:t>Funkcija praćenja usklađenosti vrši procjenu učinaka koje će na poslovanje HBOR-a imati izmjene relevantnih propisa, procjenjuje usklađenost novih proizvoda ili novih postupaka s relevantnim zakonima i propisima kao i s izmjenama propisa, savjetuje u dijelu pripreme obrazovnih programa vezanih za usklađenost, savjetuje i obrazuje o etičkom ponašanju, sudjeluje u vođenju postupaka po prigovorima i prijavama nepravilnosti te nadzire provedbu i pridržavanje odredbi Kodeksa ponašanja. Funkcija praćenja usklađenosti podnosi periodička izvješća Upravi, Revizijskom i Nadzornom odboru HBOR-a.</w:t>
      </w:r>
    </w:p>
    <w:p w14:paraId="0793AB71" w14:textId="77777777" w:rsidR="00A352BA" w:rsidRPr="005504D6" w:rsidRDefault="00A352BA" w:rsidP="007125F8">
      <w:pPr>
        <w:spacing w:after="0" w:line="240" w:lineRule="auto"/>
        <w:jc w:val="both"/>
        <w:rPr>
          <w:rFonts w:cs="Arial"/>
          <w:sz w:val="20"/>
        </w:rPr>
      </w:pPr>
    </w:p>
    <w:p w14:paraId="4724D349" w14:textId="77777777" w:rsidR="006C6D44" w:rsidRPr="005504D6" w:rsidRDefault="006C6D44" w:rsidP="007125F8">
      <w:pPr>
        <w:spacing w:after="0" w:line="240" w:lineRule="auto"/>
        <w:jc w:val="both"/>
        <w:rPr>
          <w:rFonts w:cs="Arial"/>
          <w:sz w:val="20"/>
        </w:rPr>
      </w:pPr>
    </w:p>
    <w:sectPr w:rsidR="006C6D44" w:rsidRPr="005504D6" w:rsidSect="00E8484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FE776" w14:textId="77777777" w:rsidR="0055424B" w:rsidRDefault="0055424B" w:rsidP="005E4E49">
      <w:pPr>
        <w:spacing w:after="0" w:line="240" w:lineRule="auto"/>
      </w:pPr>
      <w:r>
        <w:separator/>
      </w:r>
    </w:p>
  </w:endnote>
  <w:endnote w:type="continuationSeparator" w:id="0">
    <w:p w14:paraId="783DCC45" w14:textId="77777777" w:rsidR="0055424B" w:rsidRDefault="0055424B" w:rsidP="005E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88C74" w14:textId="77777777" w:rsidR="0055424B" w:rsidRPr="00283F7B" w:rsidRDefault="0055424B" w:rsidP="00802528">
    <w:pPr>
      <w:pStyle w:val="Footer"/>
      <w:pBdr>
        <w:top w:val="single" w:sz="4" w:space="1" w:color="auto"/>
      </w:pBdr>
      <w:rPr>
        <w:rFonts w:ascii="Calibri" w:hAnsi="Calibri"/>
        <w:b/>
        <w:bCs/>
        <w:color w:val="808080"/>
      </w:rPr>
    </w:pPr>
    <w:r w:rsidRPr="00283F7B">
      <w:rPr>
        <w:rFonts w:ascii="Calibri" w:hAnsi="Calibri"/>
        <w:color w:val="808080"/>
        <w:szCs w:val="22"/>
      </w:rPr>
      <w:fldChar w:fldCharType="begin"/>
    </w:r>
    <w:r w:rsidRPr="00283F7B">
      <w:rPr>
        <w:rFonts w:ascii="Calibri" w:hAnsi="Calibri"/>
        <w:color w:val="808080"/>
        <w:szCs w:val="22"/>
      </w:rPr>
      <w:instrText xml:space="preserve"> PAGE   \* MERGEFORMAT </w:instrText>
    </w:r>
    <w:r w:rsidRPr="00283F7B">
      <w:rPr>
        <w:rFonts w:ascii="Calibri" w:hAnsi="Calibri"/>
        <w:color w:val="808080"/>
        <w:szCs w:val="22"/>
      </w:rPr>
      <w:fldChar w:fldCharType="separate"/>
    </w:r>
    <w:r w:rsidRPr="00A20A90">
      <w:rPr>
        <w:rFonts w:ascii="Calibri" w:hAnsi="Calibri"/>
        <w:b/>
        <w:bCs/>
        <w:noProof/>
        <w:color w:val="808080"/>
        <w:szCs w:val="22"/>
      </w:rPr>
      <w:t>2</w:t>
    </w:r>
    <w:r w:rsidRPr="00283F7B">
      <w:rPr>
        <w:rFonts w:ascii="Calibri" w:hAnsi="Calibri"/>
        <w:b/>
        <w:bCs/>
        <w:noProof/>
        <w:color w:val="808080"/>
        <w:szCs w:val="22"/>
      </w:rPr>
      <w:fldChar w:fldCharType="end"/>
    </w:r>
    <w:r w:rsidRPr="00283F7B">
      <w:rPr>
        <w:rFonts w:ascii="Calibri" w:hAnsi="Calibri"/>
        <w:b/>
        <w:bCs/>
        <w:color w:val="808080"/>
      </w:rPr>
      <w:t xml:space="preserve"> </w:t>
    </w:r>
    <w:r w:rsidRPr="00283F7B">
      <w:rPr>
        <w:rFonts w:ascii="Calibri" w:hAnsi="Calibri"/>
        <w:b/>
        <w:bCs/>
        <w:color w:val="808080"/>
        <w:sz w:val="20"/>
      </w:rPr>
      <w:t>Hrvatska banka za obnovu i razvitak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FFE5D" w14:textId="77777777" w:rsidR="0055424B" w:rsidRPr="008A5986" w:rsidRDefault="0055424B">
    <w:pPr>
      <w:pStyle w:val="Footer"/>
      <w:jc w:val="right"/>
      <w:rPr>
        <w:rFonts w:asciiTheme="minorHAnsi" w:hAnsiTheme="minorHAnsi"/>
      </w:rPr>
    </w:pPr>
  </w:p>
  <w:p w14:paraId="7ACE2341" w14:textId="77777777" w:rsidR="0055424B" w:rsidRPr="00283F7B" w:rsidRDefault="0055424B" w:rsidP="00844340">
    <w:pPr>
      <w:pStyle w:val="Footer"/>
      <w:pBdr>
        <w:top w:val="single" w:sz="4" w:space="1" w:color="auto"/>
      </w:pBdr>
      <w:rPr>
        <w:rFonts w:ascii="Calibri" w:hAnsi="Calibri"/>
        <w:b/>
        <w:bCs/>
        <w:color w:val="808080"/>
      </w:rPr>
    </w:pPr>
    <w:r w:rsidRPr="00283F7B">
      <w:rPr>
        <w:rFonts w:ascii="Calibri" w:hAnsi="Calibri"/>
        <w:color w:val="808080"/>
        <w:szCs w:val="22"/>
      </w:rPr>
      <w:fldChar w:fldCharType="begin"/>
    </w:r>
    <w:r w:rsidRPr="00283F7B">
      <w:rPr>
        <w:rFonts w:ascii="Calibri" w:hAnsi="Calibri"/>
        <w:color w:val="808080"/>
        <w:szCs w:val="22"/>
      </w:rPr>
      <w:instrText xml:space="preserve"> PAGE   \* MERGEFORMAT </w:instrText>
    </w:r>
    <w:r w:rsidRPr="00283F7B">
      <w:rPr>
        <w:rFonts w:ascii="Calibri" w:hAnsi="Calibri"/>
        <w:color w:val="808080"/>
        <w:szCs w:val="22"/>
      </w:rPr>
      <w:fldChar w:fldCharType="separate"/>
    </w:r>
    <w:r w:rsidRPr="00B865B8">
      <w:rPr>
        <w:rFonts w:ascii="Calibri" w:hAnsi="Calibri"/>
        <w:b/>
        <w:bCs/>
        <w:noProof/>
        <w:color w:val="808080"/>
        <w:szCs w:val="22"/>
      </w:rPr>
      <w:t>8</w:t>
    </w:r>
    <w:r w:rsidRPr="00283F7B">
      <w:rPr>
        <w:rFonts w:ascii="Calibri" w:hAnsi="Calibri"/>
        <w:b/>
        <w:bCs/>
        <w:noProof/>
        <w:color w:val="808080"/>
        <w:szCs w:val="22"/>
      </w:rPr>
      <w:fldChar w:fldCharType="end"/>
    </w:r>
    <w:r w:rsidRPr="00283F7B">
      <w:rPr>
        <w:rFonts w:ascii="Calibri" w:hAnsi="Calibri"/>
        <w:b/>
        <w:bCs/>
        <w:color w:val="808080"/>
      </w:rPr>
      <w:t xml:space="preserve"> </w:t>
    </w:r>
    <w:r w:rsidRPr="00283F7B">
      <w:rPr>
        <w:rFonts w:ascii="Calibri" w:hAnsi="Calibri"/>
        <w:b/>
        <w:bCs/>
        <w:color w:val="808080"/>
        <w:sz w:val="20"/>
      </w:rPr>
      <w:t>Hrvatska banka za obnovu i razvitak</w:t>
    </w:r>
  </w:p>
  <w:p w14:paraId="512B5CEA" w14:textId="77777777" w:rsidR="0055424B" w:rsidRDefault="005542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435E8" w14:textId="77777777" w:rsidR="00AF6052" w:rsidRPr="00F91878" w:rsidRDefault="00AF6052">
    <w:pPr>
      <w:pStyle w:val="Footer"/>
      <w:jc w:val="right"/>
      <w:rPr>
        <w:rFonts w:asciiTheme="minorHAnsi" w:hAnsiTheme="minorHAnsi"/>
        <w:sz w:val="18"/>
        <w:szCs w:val="18"/>
      </w:rPr>
    </w:pPr>
  </w:p>
  <w:p w14:paraId="5F04CC03" w14:textId="77777777" w:rsidR="00AF6052" w:rsidRPr="00F91878" w:rsidRDefault="00AF6052" w:rsidP="00F009FD">
    <w:pPr>
      <w:pStyle w:val="Footer"/>
      <w:pBdr>
        <w:top w:val="single" w:sz="4" w:space="1" w:color="auto"/>
      </w:pBdr>
      <w:rPr>
        <w:rFonts w:cs="Arial"/>
        <w:b/>
        <w:bCs/>
        <w:color w:val="808080"/>
        <w:sz w:val="18"/>
        <w:szCs w:val="18"/>
      </w:rPr>
    </w:pPr>
    <w:r w:rsidRPr="00F91878">
      <w:rPr>
        <w:rFonts w:cs="Arial"/>
        <w:color w:val="808080"/>
        <w:sz w:val="18"/>
        <w:szCs w:val="18"/>
      </w:rPr>
      <w:fldChar w:fldCharType="begin"/>
    </w:r>
    <w:r w:rsidRPr="00F91878">
      <w:rPr>
        <w:rFonts w:cs="Arial"/>
        <w:color w:val="808080"/>
        <w:sz w:val="18"/>
        <w:szCs w:val="18"/>
      </w:rPr>
      <w:instrText xml:space="preserve"> PAGE   \* MERGEFORMAT </w:instrText>
    </w:r>
    <w:r w:rsidRPr="00F91878">
      <w:rPr>
        <w:rFonts w:cs="Arial"/>
        <w:color w:val="808080"/>
        <w:sz w:val="18"/>
        <w:szCs w:val="18"/>
      </w:rPr>
      <w:fldChar w:fldCharType="separate"/>
    </w:r>
    <w:r w:rsidRPr="00F91878">
      <w:rPr>
        <w:rFonts w:cs="Arial"/>
        <w:b/>
        <w:bCs/>
        <w:noProof/>
        <w:color w:val="808080"/>
        <w:sz w:val="18"/>
        <w:szCs w:val="18"/>
      </w:rPr>
      <w:t>14</w:t>
    </w:r>
    <w:r w:rsidRPr="00F91878">
      <w:rPr>
        <w:rFonts w:cs="Arial"/>
        <w:b/>
        <w:bCs/>
        <w:noProof/>
        <w:color w:val="808080"/>
        <w:sz w:val="18"/>
        <w:szCs w:val="18"/>
      </w:rPr>
      <w:fldChar w:fldCharType="end"/>
    </w:r>
    <w:r w:rsidRPr="00F91878">
      <w:rPr>
        <w:rFonts w:cs="Arial"/>
        <w:b/>
        <w:bCs/>
        <w:color w:val="808080"/>
        <w:sz w:val="18"/>
        <w:szCs w:val="18"/>
      </w:rPr>
      <w:t xml:space="preserve"> Hrvatska banka za obnovu i razvitak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08C3" w14:textId="77777777" w:rsidR="00A21432" w:rsidRPr="00C12B52" w:rsidRDefault="00A21432">
    <w:pPr>
      <w:pStyle w:val="Footer"/>
      <w:jc w:val="right"/>
      <w:rPr>
        <w:rFonts w:asciiTheme="minorHAnsi" w:hAnsiTheme="minorHAnsi"/>
        <w:sz w:val="18"/>
        <w:szCs w:val="18"/>
      </w:rPr>
    </w:pPr>
  </w:p>
  <w:p w14:paraId="22FBEC85" w14:textId="77777777" w:rsidR="00A21432" w:rsidRPr="00C12B52" w:rsidRDefault="00A21432" w:rsidP="00F009FD">
    <w:pPr>
      <w:pStyle w:val="Footer"/>
      <w:pBdr>
        <w:top w:val="single" w:sz="4" w:space="1" w:color="auto"/>
      </w:pBdr>
      <w:rPr>
        <w:rFonts w:cs="Arial"/>
        <w:b/>
        <w:bCs/>
        <w:color w:val="808080"/>
        <w:sz w:val="18"/>
        <w:szCs w:val="18"/>
      </w:rPr>
    </w:pPr>
    <w:r w:rsidRPr="00C12B52">
      <w:rPr>
        <w:rFonts w:cs="Arial"/>
        <w:color w:val="808080"/>
        <w:sz w:val="18"/>
        <w:szCs w:val="18"/>
      </w:rPr>
      <w:fldChar w:fldCharType="begin"/>
    </w:r>
    <w:r w:rsidRPr="00C12B52">
      <w:rPr>
        <w:rFonts w:cs="Arial"/>
        <w:color w:val="808080"/>
        <w:sz w:val="18"/>
        <w:szCs w:val="18"/>
      </w:rPr>
      <w:instrText xml:space="preserve"> PAGE   \* MERGEFORMAT </w:instrText>
    </w:r>
    <w:r w:rsidRPr="00C12B52">
      <w:rPr>
        <w:rFonts w:cs="Arial"/>
        <w:color w:val="808080"/>
        <w:sz w:val="18"/>
        <w:szCs w:val="18"/>
      </w:rPr>
      <w:fldChar w:fldCharType="separate"/>
    </w:r>
    <w:r w:rsidRPr="00C12B52">
      <w:rPr>
        <w:rFonts w:cs="Arial"/>
        <w:b/>
        <w:bCs/>
        <w:noProof/>
        <w:color w:val="808080"/>
        <w:sz w:val="18"/>
        <w:szCs w:val="18"/>
      </w:rPr>
      <w:t>14</w:t>
    </w:r>
    <w:r w:rsidRPr="00C12B52">
      <w:rPr>
        <w:rFonts w:cs="Arial"/>
        <w:b/>
        <w:bCs/>
        <w:noProof/>
        <w:color w:val="808080"/>
        <w:sz w:val="18"/>
        <w:szCs w:val="18"/>
      </w:rPr>
      <w:fldChar w:fldCharType="end"/>
    </w:r>
    <w:r w:rsidRPr="00C12B52">
      <w:rPr>
        <w:rFonts w:cs="Arial"/>
        <w:b/>
        <w:bCs/>
        <w:color w:val="808080"/>
        <w:sz w:val="18"/>
        <w:szCs w:val="18"/>
      </w:rPr>
      <w:t xml:space="preserve"> Hrvatska banka za obnovu i razvitak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A6B10" w14:textId="77777777" w:rsidR="0055424B" w:rsidRDefault="0055424B" w:rsidP="005E4E49">
      <w:pPr>
        <w:spacing w:after="0" w:line="240" w:lineRule="auto"/>
      </w:pPr>
      <w:r>
        <w:separator/>
      </w:r>
    </w:p>
  </w:footnote>
  <w:footnote w:type="continuationSeparator" w:id="0">
    <w:p w14:paraId="5501BB71" w14:textId="77777777" w:rsidR="0055424B" w:rsidRDefault="0055424B" w:rsidP="005E4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44FE" w14:textId="0D613948" w:rsidR="0055424B" w:rsidRDefault="0055424B">
    <w:pPr>
      <w:pStyle w:val="Header"/>
    </w:pPr>
  </w:p>
  <w:p w14:paraId="0661F6BA" w14:textId="75B5A087" w:rsidR="00851AE4" w:rsidRDefault="00C9761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4CAB16" wp14:editId="6F865008">
          <wp:simplePos x="0" y="0"/>
          <wp:positionH relativeFrom="column">
            <wp:posOffset>0</wp:posOffset>
          </wp:positionH>
          <wp:positionV relativeFrom="paragraph">
            <wp:posOffset>147320</wp:posOffset>
          </wp:positionV>
          <wp:extent cx="2665095" cy="902970"/>
          <wp:effectExtent l="0" t="0" r="0" b="0"/>
          <wp:wrapTight wrapText="bothSides">
            <wp:wrapPolygon edited="0">
              <wp:start x="4169" y="3646"/>
              <wp:lineTo x="2470" y="6380"/>
              <wp:lineTo x="2162" y="7747"/>
              <wp:lineTo x="2316" y="19139"/>
              <wp:lineTo x="19608" y="19139"/>
              <wp:lineTo x="19917" y="15949"/>
              <wp:lineTo x="9881" y="11848"/>
              <wp:lineTo x="10190" y="8203"/>
              <wp:lineTo x="9264" y="6835"/>
              <wp:lineTo x="5867" y="3646"/>
              <wp:lineTo x="4169" y="3646"/>
            </wp:wrapPolygon>
          </wp:wrapTight>
          <wp:docPr id="1290290767" name="Slika 7" descr="hbor_memo_HRV_ENG_novo_24_04-2_head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bor_memo_HRV_ENG_novo_24_04-2_header_HR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8" r="60526" b="13531"/>
                  <a:stretch>
                    <a:fillRect/>
                  </a:stretch>
                </pic:blipFill>
                <pic:spPr bwMode="auto">
                  <a:xfrm>
                    <a:off x="0" y="0"/>
                    <a:ext cx="266509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4EB7F7" w14:textId="085D132F" w:rsidR="0055424B" w:rsidRDefault="005542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4DF"/>
    <w:multiLevelType w:val="hybridMultilevel"/>
    <w:tmpl w:val="C0D2C7F0"/>
    <w:lvl w:ilvl="0" w:tplc="9AD204DE">
      <w:start w:val="1"/>
      <w:numFmt w:val="bullet"/>
      <w:lvlText w:val="−"/>
      <w:lvlJc w:val="left"/>
      <w:pPr>
        <w:tabs>
          <w:tab w:val="num" w:pos="1144"/>
        </w:tabs>
        <w:ind w:left="1144" w:hanging="360"/>
      </w:pPr>
      <w:rPr>
        <w:rFonts w:ascii="Calibri" w:hAnsi="Calibri" w:hint="default"/>
      </w:rPr>
    </w:lvl>
    <w:lvl w:ilvl="1" w:tplc="3762203C">
      <w:start w:val="1"/>
      <w:numFmt w:val="bullet"/>
      <w:lvlText w:val="−"/>
      <w:lvlJc w:val="left"/>
      <w:pPr>
        <w:tabs>
          <w:tab w:val="num" w:pos="1864"/>
        </w:tabs>
        <w:ind w:left="1864" w:hanging="360"/>
      </w:pPr>
      <w:rPr>
        <w:rFonts w:ascii="Calibri" w:hAnsi="Calibri" w:hint="default"/>
      </w:rPr>
    </w:lvl>
    <w:lvl w:ilvl="2" w:tplc="0254AC26" w:tentative="1">
      <w:start w:val="1"/>
      <w:numFmt w:val="bullet"/>
      <w:lvlText w:val="−"/>
      <w:lvlJc w:val="left"/>
      <w:pPr>
        <w:tabs>
          <w:tab w:val="num" w:pos="2584"/>
        </w:tabs>
        <w:ind w:left="2584" w:hanging="360"/>
      </w:pPr>
      <w:rPr>
        <w:rFonts w:ascii="Calibri" w:hAnsi="Calibri" w:hint="default"/>
      </w:rPr>
    </w:lvl>
    <w:lvl w:ilvl="3" w:tplc="DB10B13A" w:tentative="1">
      <w:start w:val="1"/>
      <w:numFmt w:val="bullet"/>
      <w:lvlText w:val="−"/>
      <w:lvlJc w:val="left"/>
      <w:pPr>
        <w:tabs>
          <w:tab w:val="num" w:pos="3304"/>
        </w:tabs>
        <w:ind w:left="3304" w:hanging="360"/>
      </w:pPr>
      <w:rPr>
        <w:rFonts w:ascii="Calibri" w:hAnsi="Calibri" w:hint="default"/>
      </w:rPr>
    </w:lvl>
    <w:lvl w:ilvl="4" w:tplc="77BA9644" w:tentative="1">
      <w:start w:val="1"/>
      <w:numFmt w:val="bullet"/>
      <w:lvlText w:val="−"/>
      <w:lvlJc w:val="left"/>
      <w:pPr>
        <w:tabs>
          <w:tab w:val="num" w:pos="4024"/>
        </w:tabs>
        <w:ind w:left="4024" w:hanging="360"/>
      </w:pPr>
      <w:rPr>
        <w:rFonts w:ascii="Calibri" w:hAnsi="Calibri" w:hint="default"/>
      </w:rPr>
    </w:lvl>
    <w:lvl w:ilvl="5" w:tplc="4D9493B0" w:tentative="1">
      <w:start w:val="1"/>
      <w:numFmt w:val="bullet"/>
      <w:lvlText w:val="−"/>
      <w:lvlJc w:val="left"/>
      <w:pPr>
        <w:tabs>
          <w:tab w:val="num" w:pos="4744"/>
        </w:tabs>
        <w:ind w:left="4744" w:hanging="360"/>
      </w:pPr>
      <w:rPr>
        <w:rFonts w:ascii="Calibri" w:hAnsi="Calibri" w:hint="default"/>
      </w:rPr>
    </w:lvl>
    <w:lvl w:ilvl="6" w:tplc="3AE82266" w:tentative="1">
      <w:start w:val="1"/>
      <w:numFmt w:val="bullet"/>
      <w:lvlText w:val="−"/>
      <w:lvlJc w:val="left"/>
      <w:pPr>
        <w:tabs>
          <w:tab w:val="num" w:pos="5464"/>
        </w:tabs>
        <w:ind w:left="5464" w:hanging="360"/>
      </w:pPr>
      <w:rPr>
        <w:rFonts w:ascii="Calibri" w:hAnsi="Calibri" w:hint="default"/>
      </w:rPr>
    </w:lvl>
    <w:lvl w:ilvl="7" w:tplc="FC7EF758" w:tentative="1">
      <w:start w:val="1"/>
      <w:numFmt w:val="bullet"/>
      <w:lvlText w:val="−"/>
      <w:lvlJc w:val="left"/>
      <w:pPr>
        <w:tabs>
          <w:tab w:val="num" w:pos="6184"/>
        </w:tabs>
        <w:ind w:left="6184" w:hanging="360"/>
      </w:pPr>
      <w:rPr>
        <w:rFonts w:ascii="Calibri" w:hAnsi="Calibri" w:hint="default"/>
      </w:rPr>
    </w:lvl>
    <w:lvl w:ilvl="8" w:tplc="85708530" w:tentative="1">
      <w:start w:val="1"/>
      <w:numFmt w:val="bullet"/>
      <w:lvlText w:val="−"/>
      <w:lvlJc w:val="left"/>
      <w:pPr>
        <w:tabs>
          <w:tab w:val="num" w:pos="6904"/>
        </w:tabs>
        <w:ind w:left="6904" w:hanging="360"/>
      </w:pPr>
      <w:rPr>
        <w:rFonts w:ascii="Calibri" w:hAnsi="Calibri" w:hint="default"/>
      </w:rPr>
    </w:lvl>
  </w:abstractNum>
  <w:abstractNum w:abstractNumId="1" w15:restartNumberingAfterBreak="0">
    <w:nsid w:val="016D7260"/>
    <w:multiLevelType w:val="hybridMultilevel"/>
    <w:tmpl w:val="30E8C06C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90284"/>
    <w:multiLevelType w:val="hybridMultilevel"/>
    <w:tmpl w:val="54A49A3C"/>
    <w:lvl w:ilvl="0" w:tplc="BA8E89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u w:color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D1CA4"/>
    <w:multiLevelType w:val="hybridMultilevel"/>
    <w:tmpl w:val="12EE8076"/>
    <w:lvl w:ilvl="0" w:tplc="041A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4" w15:restartNumberingAfterBreak="0">
    <w:nsid w:val="07DA5EBA"/>
    <w:multiLevelType w:val="hybridMultilevel"/>
    <w:tmpl w:val="915CE806"/>
    <w:lvl w:ilvl="0" w:tplc="E91206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56358"/>
    <w:multiLevelType w:val="hybridMultilevel"/>
    <w:tmpl w:val="D2E07F12"/>
    <w:lvl w:ilvl="0" w:tplc="623AD00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F2B2A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4CCEE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EA0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BEB93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E4CA8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E6AC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36C0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A4772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5018E"/>
    <w:multiLevelType w:val="multilevel"/>
    <w:tmpl w:val="BE58CC84"/>
    <w:lvl w:ilvl="0">
      <w:numFmt w:val="bullet"/>
      <w:lvlText w:val=""/>
      <w:lvlJc w:val="left"/>
      <w:pPr>
        <w:ind w:left="1440" w:hanging="360"/>
      </w:pPr>
      <w:rPr>
        <w:rFonts w:ascii="Symbol" w:hAnsi="Symbol"/>
        <w:sz w:val="24"/>
        <w:szCs w:val="24"/>
      </w:rPr>
    </w:lvl>
    <w:lvl w:ilvl="1">
      <w:numFmt w:val="bullet"/>
      <w:lvlText w:val="-"/>
      <w:lvlJc w:val="left"/>
      <w:pPr>
        <w:ind w:left="1440" w:hanging="360"/>
      </w:pPr>
      <w:rPr>
        <w:rFonts w:ascii="Arial" w:hAnsi="Arial" w:cs="Bodoni MT Black"/>
        <w:b w:val="0"/>
        <w:i w:val="0"/>
        <w:color w:val="auto"/>
        <w:sz w:val="20"/>
        <w:szCs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C1062B1"/>
    <w:multiLevelType w:val="hybridMultilevel"/>
    <w:tmpl w:val="B308E87E"/>
    <w:lvl w:ilvl="0" w:tplc="FE1C17FA">
      <w:start w:val="2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61343"/>
    <w:multiLevelType w:val="hybridMultilevel"/>
    <w:tmpl w:val="8E48E8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11F88"/>
    <w:multiLevelType w:val="hybridMultilevel"/>
    <w:tmpl w:val="FC68A93C"/>
    <w:lvl w:ilvl="0" w:tplc="8964303A">
      <w:start w:val="1"/>
      <w:numFmt w:val="bullet"/>
      <w:lvlText w:val=""/>
      <w:lvlJc w:val="left"/>
      <w:pPr>
        <w:ind w:left="2988" w:hanging="360"/>
      </w:pPr>
      <w:rPr>
        <w:rFonts w:ascii="Wingdings" w:hAnsi="Wingdings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0" w15:restartNumberingAfterBreak="0">
    <w:nsid w:val="15370918"/>
    <w:multiLevelType w:val="hybridMultilevel"/>
    <w:tmpl w:val="1B74A8FC"/>
    <w:lvl w:ilvl="0" w:tplc="89A2892E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1" w15:restartNumberingAfterBreak="0">
    <w:nsid w:val="1BA25EC5"/>
    <w:multiLevelType w:val="hybridMultilevel"/>
    <w:tmpl w:val="C2E084B0"/>
    <w:lvl w:ilvl="0" w:tplc="041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C662F3C"/>
    <w:multiLevelType w:val="hybridMultilevel"/>
    <w:tmpl w:val="B0B25284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B0ACB"/>
    <w:multiLevelType w:val="hybridMultilevel"/>
    <w:tmpl w:val="D43A6648"/>
    <w:lvl w:ilvl="0" w:tplc="389E5C28"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463D9"/>
    <w:multiLevelType w:val="hybridMultilevel"/>
    <w:tmpl w:val="09BCE6BE"/>
    <w:lvl w:ilvl="0" w:tplc="6BC62CD4"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1F6F0ED6"/>
    <w:multiLevelType w:val="hybridMultilevel"/>
    <w:tmpl w:val="E7381476"/>
    <w:lvl w:ilvl="0" w:tplc="89A289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E41676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D026C"/>
    <w:multiLevelType w:val="singleLevel"/>
    <w:tmpl w:val="BBE868AE"/>
    <w:lvl w:ilvl="0">
      <w:numFmt w:val="bullet"/>
      <w:pStyle w:val="T1PARAGRAPH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5033009"/>
    <w:multiLevelType w:val="hybridMultilevel"/>
    <w:tmpl w:val="20C22992"/>
    <w:lvl w:ilvl="0" w:tplc="6BC62CD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2406DB"/>
    <w:multiLevelType w:val="hybridMultilevel"/>
    <w:tmpl w:val="83B64EA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4B60CB"/>
    <w:multiLevelType w:val="hybridMultilevel"/>
    <w:tmpl w:val="3B4AD61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1E6C3A"/>
    <w:multiLevelType w:val="hybridMultilevel"/>
    <w:tmpl w:val="7E2E3B8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50489D"/>
    <w:multiLevelType w:val="hybridMultilevel"/>
    <w:tmpl w:val="C154516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930CF2"/>
    <w:multiLevelType w:val="hybridMultilevel"/>
    <w:tmpl w:val="41C23F6E"/>
    <w:lvl w:ilvl="0" w:tplc="004C9D8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8A2497"/>
    <w:multiLevelType w:val="hybridMultilevel"/>
    <w:tmpl w:val="E990F45A"/>
    <w:lvl w:ilvl="0" w:tplc="041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34A96B30"/>
    <w:multiLevelType w:val="hybridMultilevel"/>
    <w:tmpl w:val="C7522B44"/>
    <w:lvl w:ilvl="0" w:tplc="87EE24A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66B63"/>
    <w:multiLevelType w:val="hybridMultilevel"/>
    <w:tmpl w:val="1C869750"/>
    <w:lvl w:ilvl="0" w:tplc="82D00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5EE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F6C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0A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106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F81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269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344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2E6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D010CEA"/>
    <w:multiLevelType w:val="hybridMultilevel"/>
    <w:tmpl w:val="188AED5E"/>
    <w:lvl w:ilvl="0" w:tplc="F822C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DAB57C">
      <w:start w:val="2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0E2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F02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8EB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FC0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46A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228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227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D63469C"/>
    <w:multiLevelType w:val="hybridMultilevel"/>
    <w:tmpl w:val="01B4C4DA"/>
    <w:lvl w:ilvl="0" w:tplc="BA8E89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u w:color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2016A9"/>
    <w:multiLevelType w:val="hybridMultilevel"/>
    <w:tmpl w:val="BB1CBF44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D6C268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630273"/>
    <w:multiLevelType w:val="hybridMultilevel"/>
    <w:tmpl w:val="BC8CF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0241D"/>
    <w:multiLevelType w:val="hybridMultilevel"/>
    <w:tmpl w:val="11F657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F574F"/>
    <w:multiLevelType w:val="hybridMultilevel"/>
    <w:tmpl w:val="064004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D00FF6"/>
    <w:multiLevelType w:val="hybridMultilevel"/>
    <w:tmpl w:val="1FD470DA"/>
    <w:lvl w:ilvl="0" w:tplc="F0FA3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E9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DE3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F42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F6A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CED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EA4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DA1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88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8E76F03"/>
    <w:multiLevelType w:val="hybridMultilevel"/>
    <w:tmpl w:val="064004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B7A54"/>
    <w:multiLevelType w:val="hybridMultilevel"/>
    <w:tmpl w:val="53F8D056"/>
    <w:lvl w:ilvl="0" w:tplc="E50821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66409"/>
    <w:multiLevelType w:val="hybridMultilevel"/>
    <w:tmpl w:val="DA5805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948CF"/>
    <w:multiLevelType w:val="hybridMultilevel"/>
    <w:tmpl w:val="A42E0D9E"/>
    <w:lvl w:ilvl="0" w:tplc="F992EC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E7742B"/>
    <w:multiLevelType w:val="hybridMultilevel"/>
    <w:tmpl w:val="EA6A6A34"/>
    <w:lvl w:ilvl="0" w:tplc="D6C268AA">
      <w:start w:val="1"/>
      <w:numFmt w:val="bullet"/>
      <w:lvlText w:val="-"/>
      <w:lvlJc w:val="left"/>
      <w:pPr>
        <w:ind w:left="643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8" w15:restartNumberingAfterBreak="0">
    <w:nsid w:val="688E4FB5"/>
    <w:multiLevelType w:val="hybridMultilevel"/>
    <w:tmpl w:val="1788016A"/>
    <w:lvl w:ilvl="0" w:tplc="041A0003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39" w15:restartNumberingAfterBreak="0">
    <w:nsid w:val="6976248C"/>
    <w:multiLevelType w:val="hybridMultilevel"/>
    <w:tmpl w:val="9F702F6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C61E43"/>
    <w:multiLevelType w:val="hybridMultilevel"/>
    <w:tmpl w:val="67188A40"/>
    <w:lvl w:ilvl="0" w:tplc="8190D1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6B5D227D"/>
    <w:multiLevelType w:val="hybridMultilevel"/>
    <w:tmpl w:val="9006C7D4"/>
    <w:lvl w:ilvl="0" w:tplc="5A5291E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1974B1"/>
    <w:multiLevelType w:val="hybridMultilevel"/>
    <w:tmpl w:val="4CD2A3D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CC2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509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689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25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288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8D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2E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D81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E5615C8"/>
    <w:multiLevelType w:val="hybridMultilevel"/>
    <w:tmpl w:val="AF2EE45C"/>
    <w:lvl w:ilvl="0" w:tplc="267484D6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F2D6ACB"/>
    <w:multiLevelType w:val="hybridMultilevel"/>
    <w:tmpl w:val="58CE54E4"/>
    <w:lvl w:ilvl="0" w:tplc="267484D6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0A11822"/>
    <w:multiLevelType w:val="hybridMultilevel"/>
    <w:tmpl w:val="EA3C861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B270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82BF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644A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E8C4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C036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C420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18E7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AC9D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735B37D6"/>
    <w:multiLevelType w:val="hybridMultilevel"/>
    <w:tmpl w:val="B4663EDC"/>
    <w:lvl w:ilvl="0" w:tplc="004C9D8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FA1A6C"/>
    <w:multiLevelType w:val="hybridMultilevel"/>
    <w:tmpl w:val="8A66F0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46A6160"/>
    <w:multiLevelType w:val="hybridMultilevel"/>
    <w:tmpl w:val="B80AFA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4069F7"/>
    <w:multiLevelType w:val="hybridMultilevel"/>
    <w:tmpl w:val="27B6E558"/>
    <w:lvl w:ilvl="0" w:tplc="47D295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C61A18"/>
    <w:multiLevelType w:val="hybridMultilevel"/>
    <w:tmpl w:val="7D769A52"/>
    <w:lvl w:ilvl="0" w:tplc="FE1C17FA">
      <w:start w:val="2"/>
      <w:numFmt w:val="bullet"/>
      <w:lvlText w:val="−"/>
      <w:lvlJc w:val="left"/>
      <w:pPr>
        <w:ind w:left="1440" w:hanging="360"/>
      </w:pPr>
      <w:rPr>
        <w:rFonts w:ascii="Calibri" w:hAnsi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F4C6D7C"/>
    <w:multiLevelType w:val="hybridMultilevel"/>
    <w:tmpl w:val="F626AB22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183416">
    <w:abstractNumId w:val="16"/>
  </w:num>
  <w:num w:numId="2" w16cid:durableId="644940374">
    <w:abstractNumId w:val="2"/>
  </w:num>
  <w:num w:numId="3" w16cid:durableId="1653756096">
    <w:abstractNumId w:val="23"/>
  </w:num>
  <w:num w:numId="4" w16cid:durableId="1650480678">
    <w:abstractNumId w:val="18"/>
  </w:num>
  <w:num w:numId="5" w16cid:durableId="1263806539">
    <w:abstractNumId w:val="14"/>
  </w:num>
  <w:num w:numId="6" w16cid:durableId="1829904293">
    <w:abstractNumId w:val="11"/>
  </w:num>
  <w:num w:numId="7" w16cid:durableId="871386856">
    <w:abstractNumId w:val="17"/>
  </w:num>
  <w:num w:numId="8" w16cid:durableId="803356689">
    <w:abstractNumId w:val="51"/>
  </w:num>
  <w:num w:numId="9" w16cid:durableId="1642495132">
    <w:abstractNumId w:val="28"/>
  </w:num>
  <w:num w:numId="10" w16cid:durableId="1450513376">
    <w:abstractNumId w:val="1"/>
  </w:num>
  <w:num w:numId="11" w16cid:durableId="96487062">
    <w:abstractNumId w:val="5"/>
  </w:num>
  <w:num w:numId="12" w16cid:durableId="368183907">
    <w:abstractNumId w:val="6"/>
  </w:num>
  <w:num w:numId="13" w16cid:durableId="526214526">
    <w:abstractNumId w:val="31"/>
  </w:num>
  <w:num w:numId="14" w16cid:durableId="842159328">
    <w:abstractNumId w:val="39"/>
  </w:num>
  <w:num w:numId="15" w16cid:durableId="1489596149">
    <w:abstractNumId w:val="20"/>
  </w:num>
  <w:num w:numId="16" w16cid:durableId="1501848993">
    <w:abstractNumId w:val="41"/>
  </w:num>
  <w:num w:numId="17" w16cid:durableId="1208448768">
    <w:abstractNumId w:val="21"/>
  </w:num>
  <w:num w:numId="18" w16cid:durableId="777023760">
    <w:abstractNumId w:val="15"/>
  </w:num>
  <w:num w:numId="19" w16cid:durableId="1709722210">
    <w:abstractNumId w:val="13"/>
  </w:num>
  <w:num w:numId="20" w16cid:durableId="944844850">
    <w:abstractNumId w:val="10"/>
  </w:num>
  <w:num w:numId="21" w16cid:durableId="2123836274">
    <w:abstractNumId w:val="33"/>
  </w:num>
  <w:num w:numId="22" w16cid:durableId="1916815883">
    <w:abstractNumId w:val="32"/>
  </w:num>
  <w:num w:numId="23" w16cid:durableId="1992827788">
    <w:abstractNumId w:val="40"/>
  </w:num>
  <w:num w:numId="24" w16cid:durableId="1265259905">
    <w:abstractNumId w:val="30"/>
  </w:num>
  <w:num w:numId="25" w16cid:durableId="1805073814">
    <w:abstractNumId w:val="12"/>
  </w:num>
  <w:num w:numId="26" w16cid:durableId="1002127436">
    <w:abstractNumId w:val="37"/>
  </w:num>
  <w:num w:numId="27" w16cid:durableId="371880851">
    <w:abstractNumId w:val="25"/>
  </w:num>
  <w:num w:numId="28" w16cid:durableId="1651858535">
    <w:abstractNumId w:val="22"/>
  </w:num>
  <w:num w:numId="29" w16cid:durableId="1320965744">
    <w:abstractNumId w:val="35"/>
  </w:num>
  <w:num w:numId="30" w16cid:durableId="237978029">
    <w:abstractNumId w:val="46"/>
  </w:num>
  <w:num w:numId="31" w16cid:durableId="1102412439">
    <w:abstractNumId w:val="26"/>
  </w:num>
  <w:num w:numId="32" w16cid:durableId="1429620529">
    <w:abstractNumId w:val="0"/>
  </w:num>
  <w:num w:numId="33" w16cid:durableId="1911963666">
    <w:abstractNumId w:val="45"/>
  </w:num>
  <w:num w:numId="34" w16cid:durableId="1406104461">
    <w:abstractNumId w:val="42"/>
  </w:num>
  <w:num w:numId="35" w16cid:durableId="1057364501">
    <w:abstractNumId w:val="43"/>
  </w:num>
  <w:num w:numId="36" w16cid:durableId="214123445">
    <w:abstractNumId w:val="44"/>
  </w:num>
  <w:num w:numId="37" w16cid:durableId="782696848">
    <w:abstractNumId w:val="8"/>
  </w:num>
  <w:num w:numId="38" w16cid:durableId="500774793">
    <w:abstractNumId w:val="34"/>
  </w:num>
  <w:num w:numId="39" w16cid:durableId="95639280">
    <w:abstractNumId w:val="49"/>
  </w:num>
  <w:num w:numId="40" w16cid:durableId="749236250">
    <w:abstractNumId w:val="19"/>
  </w:num>
  <w:num w:numId="41" w16cid:durableId="496044159">
    <w:abstractNumId w:val="24"/>
  </w:num>
  <w:num w:numId="42" w16cid:durableId="302657806">
    <w:abstractNumId w:val="9"/>
  </w:num>
  <w:num w:numId="43" w16cid:durableId="1659110929">
    <w:abstractNumId w:val="27"/>
  </w:num>
  <w:num w:numId="44" w16cid:durableId="1870483095">
    <w:abstractNumId w:val="50"/>
  </w:num>
  <w:num w:numId="45" w16cid:durableId="1324892821">
    <w:abstractNumId w:val="7"/>
  </w:num>
  <w:num w:numId="46" w16cid:durableId="1025906734">
    <w:abstractNumId w:val="3"/>
  </w:num>
  <w:num w:numId="47" w16cid:durableId="1786844209">
    <w:abstractNumId w:val="47"/>
  </w:num>
  <w:num w:numId="48" w16cid:durableId="2139250777">
    <w:abstractNumId w:val="4"/>
  </w:num>
  <w:num w:numId="49" w16cid:durableId="4052997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13151740">
    <w:abstractNumId w:val="48"/>
  </w:num>
  <w:num w:numId="51" w16cid:durableId="1117262756">
    <w:abstractNumId w:val="36"/>
  </w:num>
  <w:num w:numId="52" w16cid:durableId="1211114003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36"/>
    <w:rsid w:val="00000A38"/>
    <w:rsid w:val="00000BA5"/>
    <w:rsid w:val="00002C53"/>
    <w:rsid w:val="0000605F"/>
    <w:rsid w:val="00007CB4"/>
    <w:rsid w:val="0001107B"/>
    <w:rsid w:val="0001494E"/>
    <w:rsid w:val="000175F8"/>
    <w:rsid w:val="00020607"/>
    <w:rsid w:val="000212CE"/>
    <w:rsid w:val="00021BAA"/>
    <w:rsid w:val="000243FF"/>
    <w:rsid w:val="000317D6"/>
    <w:rsid w:val="00033E7E"/>
    <w:rsid w:val="00041F09"/>
    <w:rsid w:val="000432CE"/>
    <w:rsid w:val="000438A0"/>
    <w:rsid w:val="00043DE5"/>
    <w:rsid w:val="0004549C"/>
    <w:rsid w:val="00046990"/>
    <w:rsid w:val="00047FA0"/>
    <w:rsid w:val="00050D44"/>
    <w:rsid w:val="00053DEF"/>
    <w:rsid w:val="00057770"/>
    <w:rsid w:val="00060212"/>
    <w:rsid w:val="00063014"/>
    <w:rsid w:val="00063A59"/>
    <w:rsid w:val="000656F3"/>
    <w:rsid w:val="00067256"/>
    <w:rsid w:val="00070D63"/>
    <w:rsid w:val="000716B0"/>
    <w:rsid w:val="00072229"/>
    <w:rsid w:val="00072915"/>
    <w:rsid w:val="000736F7"/>
    <w:rsid w:val="0007414F"/>
    <w:rsid w:val="0007557A"/>
    <w:rsid w:val="00075A00"/>
    <w:rsid w:val="00076A69"/>
    <w:rsid w:val="00076FB6"/>
    <w:rsid w:val="00077680"/>
    <w:rsid w:val="0008092A"/>
    <w:rsid w:val="00083017"/>
    <w:rsid w:val="000833A9"/>
    <w:rsid w:val="000840F6"/>
    <w:rsid w:val="00084370"/>
    <w:rsid w:val="000909C1"/>
    <w:rsid w:val="0009103E"/>
    <w:rsid w:val="00097037"/>
    <w:rsid w:val="000A293A"/>
    <w:rsid w:val="000A388B"/>
    <w:rsid w:val="000A7656"/>
    <w:rsid w:val="000A79A7"/>
    <w:rsid w:val="000A7C81"/>
    <w:rsid w:val="000B1B83"/>
    <w:rsid w:val="000B226F"/>
    <w:rsid w:val="000B3B5D"/>
    <w:rsid w:val="000B4197"/>
    <w:rsid w:val="000B4F21"/>
    <w:rsid w:val="000B6A29"/>
    <w:rsid w:val="000C0AC8"/>
    <w:rsid w:val="000C0CCF"/>
    <w:rsid w:val="000C12FC"/>
    <w:rsid w:val="000C1D25"/>
    <w:rsid w:val="000C1E95"/>
    <w:rsid w:val="000C31F0"/>
    <w:rsid w:val="000C5447"/>
    <w:rsid w:val="000C7418"/>
    <w:rsid w:val="000C7C30"/>
    <w:rsid w:val="000D07A9"/>
    <w:rsid w:val="000D3AD6"/>
    <w:rsid w:val="000D5C81"/>
    <w:rsid w:val="000D6669"/>
    <w:rsid w:val="000E07B7"/>
    <w:rsid w:val="000E1078"/>
    <w:rsid w:val="000E190A"/>
    <w:rsid w:val="000E335D"/>
    <w:rsid w:val="000E4BA5"/>
    <w:rsid w:val="000E58AD"/>
    <w:rsid w:val="000E7E35"/>
    <w:rsid w:val="000F1D4F"/>
    <w:rsid w:val="000F2DD1"/>
    <w:rsid w:val="000F2E01"/>
    <w:rsid w:val="000F2E14"/>
    <w:rsid w:val="000F35D7"/>
    <w:rsid w:val="000F5CF4"/>
    <w:rsid w:val="000F6E1F"/>
    <w:rsid w:val="001012B1"/>
    <w:rsid w:val="0010140D"/>
    <w:rsid w:val="00101A44"/>
    <w:rsid w:val="001022AB"/>
    <w:rsid w:val="001044D5"/>
    <w:rsid w:val="00106DEB"/>
    <w:rsid w:val="00107A5E"/>
    <w:rsid w:val="0011065A"/>
    <w:rsid w:val="001114B2"/>
    <w:rsid w:val="001127E5"/>
    <w:rsid w:val="0011676D"/>
    <w:rsid w:val="00122F0D"/>
    <w:rsid w:val="00122FE3"/>
    <w:rsid w:val="001242BC"/>
    <w:rsid w:val="00125C25"/>
    <w:rsid w:val="001272FB"/>
    <w:rsid w:val="001310A6"/>
    <w:rsid w:val="0013188A"/>
    <w:rsid w:val="00131DB3"/>
    <w:rsid w:val="001328F0"/>
    <w:rsid w:val="0013710D"/>
    <w:rsid w:val="00137D4F"/>
    <w:rsid w:val="00140433"/>
    <w:rsid w:val="001421EA"/>
    <w:rsid w:val="001443E5"/>
    <w:rsid w:val="00150982"/>
    <w:rsid w:val="00153636"/>
    <w:rsid w:val="00153810"/>
    <w:rsid w:val="00156FB9"/>
    <w:rsid w:val="001602DC"/>
    <w:rsid w:val="00162BDE"/>
    <w:rsid w:val="00162EB6"/>
    <w:rsid w:val="00162EEE"/>
    <w:rsid w:val="00164CDF"/>
    <w:rsid w:val="001653E9"/>
    <w:rsid w:val="001659DD"/>
    <w:rsid w:val="001667B6"/>
    <w:rsid w:val="00167473"/>
    <w:rsid w:val="0017219C"/>
    <w:rsid w:val="00172AA7"/>
    <w:rsid w:val="0017315B"/>
    <w:rsid w:val="0017369A"/>
    <w:rsid w:val="00173B45"/>
    <w:rsid w:val="00176075"/>
    <w:rsid w:val="00176A0F"/>
    <w:rsid w:val="00182234"/>
    <w:rsid w:val="00186461"/>
    <w:rsid w:val="001874F8"/>
    <w:rsid w:val="00190166"/>
    <w:rsid w:val="001921A5"/>
    <w:rsid w:val="00194BDB"/>
    <w:rsid w:val="001954DF"/>
    <w:rsid w:val="001974D9"/>
    <w:rsid w:val="001979C6"/>
    <w:rsid w:val="001A4248"/>
    <w:rsid w:val="001A48F9"/>
    <w:rsid w:val="001A5033"/>
    <w:rsid w:val="001A5055"/>
    <w:rsid w:val="001A6EB0"/>
    <w:rsid w:val="001A6F93"/>
    <w:rsid w:val="001A712E"/>
    <w:rsid w:val="001A7140"/>
    <w:rsid w:val="001B0DA3"/>
    <w:rsid w:val="001B41CB"/>
    <w:rsid w:val="001B4584"/>
    <w:rsid w:val="001B516A"/>
    <w:rsid w:val="001B55B3"/>
    <w:rsid w:val="001B5AEA"/>
    <w:rsid w:val="001B5CFD"/>
    <w:rsid w:val="001B683A"/>
    <w:rsid w:val="001B6D6F"/>
    <w:rsid w:val="001B6E69"/>
    <w:rsid w:val="001B757E"/>
    <w:rsid w:val="001C09AE"/>
    <w:rsid w:val="001C0DE7"/>
    <w:rsid w:val="001C0E47"/>
    <w:rsid w:val="001C1E53"/>
    <w:rsid w:val="001C3DCD"/>
    <w:rsid w:val="001C4834"/>
    <w:rsid w:val="001C509A"/>
    <w:rsid w:val="001C7D4B"/>
    <w:rsid w:val="001D13F9"/>
    <w:rsid w:val="001D17EA"/>
    <w:rsid w:val="001D4699"/>
    <w:rsid w:val="001D48DC"/>
    <w:rsid w:val="001D57B9"/>
    <w:rsid w:val="001D70BC"/>
    <w:rsid w:val="001D7990"/>
    <w:rsid w:val="001E2CA8"/>
    <w:rsid w:val="001F264B"/>
    <w:rsid w:val="001F4009"/>
    <w:rsid w:val="001F4EF1"/>
    <w:rsid w:val="001F5200"/>
    <w:rsid w:val="00202971"/>
    <w:rsid w:val="00203313"/>
    <w:rsid w:val="0020371C"/>
    <w:rsid w:val="00204D34"/>
    <w:rsid w:val="00204E2C"/>
    <w:rsid w:val="0020711B"/>
    <w:rsid w:val="00207278"/>
    <w:rsid w:val="00211AB5"/>
    <w:rsid w:val="00211B61"/>
    <w:rsid w:val="00214291"/>
    <w:rsid w:val="0021468C"/>
    <w:rsid w:val="00217516"/>
    <w:rsid w:val="0022038B"/>
    <w:rsid w:val="002209B6"/>
    <w:rsid w:val="00220EF6"/>
    <w:rsid w:val="00221708"/>
    <w:rsid w:val="00223391"/>
    <w:rsid w:val="00226276"/>
    <w:rsid w:val="002262AF"/>
    <w:rsid w:val="00231BC8"/>
    <w:rsid w:val="0023287D"/>
    <w:rsid w:val="00232E92"/>
    <w:rsid w:val="002338FA"/>
    <w:rsid w:val="00235BD8"/>
    <w:rsid w:val="00236990"/>
    <w:rsid w:val="00240121"/>
    <w:rsid w:val="00241C5B"/>
    <w:rsid w:val="00243615"/>
    <w:rsid w:val="00244459"/>
    <w:rsid w:val="00244833"/>
    <w:rsid w:val="002458C3"/>
    <w:rsid w:val="00247804"/>
    <w:rsid w:val="00247CCF"/>
    <w:rsid w:val="002514F1"/>
    <w:rsid w:val="00251BDB"/>
    <w:rsid w:val="002578BD"/>
    <w:rsid w:val="0026015C"/>
    <w:rsid w:val="00260450"/>
    <w:rsid w:val="002612DE"/>
    <w:rsid w:val="00261D26"/>
    <w:rsid w:val="00261F98"/>
    <w:rsid w:val="00262C77"/>
    <w:rsid w:val="00262F44"/>
    <w:rsid w:val="002636F5"/>
    <w:rsid w:val="0026390B"/>
    <w:rsid w:val="002653EA"/>
    <w:rsid w:val="002654B7"/>
    <w:rsid w:val="00265B87"/>
    <w:rsid w:val="002665F7"/>
    <w:rsid w:val="00271940"/>
    <w:rsid w:val="00273E9B"/>
    <w:rsid w:val="00276106"/>
    <w:rsid w:val="00276CF9"/>
    <w:rsid w:val="00277028"/>
    <w:rsid w:val="0027757A"/>
    <w:rsid w:val="002807AE"/>
    <w:rsid w:val="002813DD"/>
    <w:rsid w:val="002918EA"/>
    <w:rsid w:val="00292372"/>
    <w:rsid w:val="002933AE"/>
    <w:rsid w:val="002A0423"/>
    <w:rsid w:val="002A06BC"/>
    <w:rsid w:val="002A3A27"/>
    <w:rsid w:val="002A4A43"/>
    <w:rsid w:val="002A51F3"/>
    <w:rsid w:val="002A5D55"/>
    <w:rsid w:val="002A6540"/>
    <w:rsid w:val="002A6905"/>
    <w:rsid w:val="002A6CAB"/>
    <w:rsid w:val="002B09D4"/>
    <w:rsid w:val="002B1DE1"/>
    <w:rsid w:val="002B3226"/>
    <w:rsid w:val="002B32BC"/>
    <w:rsid w:val="002B32CA"/>
    <w:rsid w:val="002C0C2D"/>
    <w:rsid w:val="002C355C"/>
    <w:rsid w:val="002C5D85"/>
    <w:rsid w:val="002C6DC0"/>
    <w:rsid w:val="002C6F56"/>
    <w:rsid w:val="002D0018"/>
    <w:rsid w:val="002D05D7"/>
    <w:rsid w:val="002D1520"/>
    <w:rsid w:val="002D22C7"/>
    <w:rsid w:val="002D3054"/>
    <w:rsid w:val="002D30D5"/>
    <w:rsid w:val="002D4793"/>
    <w:rsid w:val="002D7B93"/>
    <w:rsid w:val="002E01AD"/>
    <w:rsid w:val="002E02F4"/>
    <w:rsid w:val="002E18E3"/>
    <w:rsid w:val="002E32E6"/>
    <w:rsid w:val="002E63B2"/>
    <w:rsid w:val="002F0C1D"/>
    <w:rsid w:val="00301E2C"/>
    <w:rsid w:val="00302132"/>
    <w:rsid w:val="003042BA"/>
    <w:rsid w:val="00304FD1"/>
    <w:rsid w:val="003109F5"/>
    <w:rsid w:val="00311C4B"/>
    <w:rsid w:val="00311FFF"/>
    <w:rsid w:val="00314C12"/>
    <w:rsid w:val="00317230"/>
    <w:rsid w:val="003237C3"/>
    <w:rsid w:val="00324DBF"/>
    <w:rsid w:val="00325439"/>
    <w:rsid w:val="003265AB"/>
    <w:rsid w:val="00326650"/>
    <w:rsid w:val="003270E0"/>
    <w:rsid w:val="00330A2C"/>
    <w:rsid w:val="0033173A"/>
    <w:rsid w:val="003339CC"/>
    <w:rsid w:val="00333D3F"/>
    <w:rsid w:val="00334749"/>
    <w:rsid w:val="003348E7"/>
    <w:rsid w:val="00335F35"/>
    <w:rsid w:val="00341EF4"/>
    <w:rsid w:val="003433FE"/>
    <w:rsid w:val="00343635"/>
    <w:rsid w:val="003451CC"/>
    <w:rsid w:val="003465BB"/>
    <w:rsid w:val="00347391"/>
    <w:rsid w:val="0034752F"/>
    <w:rsid w:val="00347EEA"/>
    <w:rsid w:val="0035034D"/>
    <w:rsid w:val="0035046B"/>
    <w:rsid w:val="00350963"/>
    <w:rsid w:val="00350BF0"/>
    <w:rsid w:val="00350ED8"/>
    <w:rsid w:val="0035128B"/>
    <w:rsid w:val="00353154"/>
    <w:rsid w:val="0035423A"/>
    <w:rsid w:val="00355FE4"/>
    <w:rsid w:val="00357590"/>
    <w:rsid w:val="003601D1"/>
    <w:rsid w:val="00362F4B"/>
    <w:rsid w:val="0036344F"/>
    <w:rsid w:val="00363851"/>
    <w:rsid w:val="0036657E"/>
    <w:rsid w:val="003665FD"/>
    <w:rsid w:val="00366D2E"/>
    <w:rsid w:val="00367897"/>
    <w:rsid w:val="00370214"/>
    <w:rsid w:val="003719AB"/>
    <w:rsid w:val="00374307"/>
    <w:rsid w:val="00374F25"/>
    <w:rsid w:val="0037573C"/>
    <w:rsid w:val="0037589A"/>
    <w:rsid w:val="003777C8"/>
    <w:rsid w:val="00380032"/>
    <w:rsid w:val="003810F5"/>
    <w:rsid w:val="00381FE3"/>
    <w:rsid w:val="00384E85"/>
    <w:rsid w:val="003854B4"/>
    <w:rsid w:val="00385673"/>
    <w:rsid w:val="00385E2C"/>
    <w:rsid w:val="003876FD"/>
    <w:rsid w:val="00387955"/>
    <w:rsid w:val="003903BF"/>
    <w:rsid w:val="0039382B"/>
    <w:rsid w:val="00394F19"/>
    <w:rsid w:val="003950C1"/>
    <w:rsid w:val="003957FC"/>
    <w:rsid w:val="00397645"/>
    <w:rsid w:val="003A2766"/>
    <w:rsid w:val="003A3181"/>
    <w:rsid w:val="003A4F1E"/>
    <w:rsid w:val="003A717F"/>
    <w:rsid w:val="003A78BB"/>
    <w:rsid w:val="003B09F4"/>
    <w:rsid w:val="003B2A8C"/>
    <w:rsid w:val="003B5DCC"/>
    <w:rsid w:val="003C0FF8"/>
    <w:rsid w:val="003C40AE"/>
    <w:rsid w:val="003C7548"/>
    <w:rsid w:val="003D25B5"/>
    <w:rsid w:val="003D2863"/>
    <w:rsid w:val="003D486D"/>
    <w:rsid w:val="003D4DC9"/>
    <w:rsid w:val="003D5FBB"/>
    <w:rsid w:val="003E0EB4"/>
    <w:rsid w:val="003E3429"/>
    <w:rsid w:val="003E3A1F"/>
    <w:rsid w:val="003E3A3A"/>
    <w:rsid w:val="003E3CDA"/>
    <w:rsid w:val="003E4196"/>
    <w:rsid w:val="003E454E"/>
    <w:rsid w:val="003E4B59"/>
    <w:rsid w:val="003F3058"/>
    <w:rsid w:val="003F56B5"/>
    <w:rsid w:val="003F7797"/>
    <w:rsid w:val="004014B4"/>
    <w:rsid w:val="0040285B"/>
    <w:rsid w:val="00407201"/>
    <w:rsid w:val="004127D0"/>
    <w:rsid w:val="00413CCB"/>
    <w:rsid w:val="0041489B"/>
    <w:rsid w:val="004165CD"/>
    <w:rsid w:val="00416A7D"/>
    <w:rsid w:val="00420812"/>
    <w:rsid w:val="004214DB"/>
    <w:rsid w:val="00423A6D"/>
    <w:rsid w:val="00426FBD"/>
    <w:rsid w:val="00427720"/>
    <w:rsid w:val="00431209"/>
    <w:rsid w:val="00433C71"/>
    <w:rsid w:val="00437372"/>
    <w:rsid w:val="00437679"/>
    <w:rsid w:val="00440417"/>
    <w:rsid w:val="00441494"/>
    <w:rsid w:val="004443A2"/>
    <w:rsid w:val="004458BD"/>
    <w:rsid w:val="00447641"/>
    <w:rsid w:val="00447B2E"/>
    <w:rsid w:val="00447B3A"/>
    <w:rsid w:val="004516B3"/>
    <w:rsid w:val="00451A15"/>
    <w:rsid w:val="00454AF4"/>
    <w:rsid w:val="004575CA"/>
    <w:rsid w:val="00460168"/>
    <w:rsid w:val="00461272"/>
    <w:rsid w:val="004631A5"/>
    <w:rsid w:val="004679DF"/>
    <w:rsid w:val="00470027"/>
    <w:rsid w:val="00470F01"/>
    <w:rsid w:val="0047165E"/>
    <w:rsid w:val="00471EE6"/>
    <w:rsid w:val="004771B3"/>
    <w:rsid w:val="00480AD4"/>
    <w:rsid w:val="00480CDB"/>
    <w:rsid w:val="00481DCD"/>
    <w:rsid w:val="00484EAB"/>
    <w:rsid w:val="00485B88"/>
    <w:rsid w:val="00486762"/>
    <w:rsid w:val="00487CA2"/>
    <w:rsid w:val="00491D8F"/>
    <w:rsid w:val="00492941"/>
    <w:rsid w:val="00492F71"/>
    <w:rsid w:val="004933AB"/>
    <w:rsid w:val="004944BC"/>
    <w:rsid w:val="004A10AA"/>
    <w:rsid w:val="004A4095"/>
    <w:rsid w:val="004A5205"/>
    <w:rsid w:val="004B174A"/>
    <w:rsid w:val="004B22B4"/>
    <w:rsid w:val="004B35D0"/>
    <w:rsid w:val="004B4D4C"/>
    <w:rsid w:val="004B5A00"/>
    <w:rsid w:val="004B7F1F"/>
    <w:rsid w:val="004C06C7"/>
    <w:rsid w:val="004C166B"/>
    <w:rsid w:val="004C6285"/>
    <w:rsid w:val="004D1C78"/>
    <w:rsid w:val="004D5F15"/>
    <w:rsid w:val="004D61B3"/>
    <w:rsid w:val="004D7017"/>
    <w:rsid w:val="004D7219"/>
    <w:rsid w:val="004D746D"/>
    <w:rsid w:val="004D7B3B"/>
    <w:rsid w:val="004E1F43"/>
    <w:rsid w:val="004E2A29"/>
    <w:rsid w:val="004E3016"/>
    <w:rsid w:val="004F071E"/>
    <w:rsid w:val="004F20B8"/>
    <w:rsid w:val="004F730B"/>
    <w:rsid w:val="004F78D1"/>
    <w:rsid w:val="004F7E07"/>
    <w:rsid w:val="00500FDF"/>
    <w:rsid w:val="00501492"/>
    <w:rsid w:val="005016AE"/>
    <w:rsid w:val="005020B5"/>
    <w:rsid w:val="005041AF"/>
    <w:rsid w:val="00507294"/>
    <w:rsid w:val="00507780"/>
    <w:rsid w:val="0051020F"/>
    <w:rsid w:val="00514A44"/>
    <w:rsid w:val="00515458"/>
    <w:rsid w:val="0052065F"/>
    <w:rsid w:val="00520AE6"/>
    <w:rsid w:val="00520CD3"/>
    <w:rsid w:val="0052139C"/>
    <w:rsid w:val="005235D2"/>
    <w:rsid w:val="00523F49"/>
    <w:rsid w:val="005254A6"/>
    <w:rsid w:val="00525604"/>
    <w:rsid w:val="00527025"/>
    <w:rsid w:val="00530A6E"/>
    <w:rsid w:val="00532651"/>
    <w:rsid w:val="005368EC"/>
    <w:rsid w:val="00537386"/>
    <w:rsid w:val="00540668"/>
    <w:rsid w:val="00541FDB"/>
    <w:rsid w:val="00546230"/>
    <w:rsid w:val="00546E47"/>
    <w:rsid w:val="0054799B"/>
    <w:rsid w:val="005504D6"/>
    <w:rsid w:val="00552472"/>
    <w:rsid w:val="00553AEB"/>
    <w:rsid w:val="0055424B"/>
    <w:rsid w:val="00561638"/>
    <w:rsid w:val="00561D36"/>
    <w:rsid w:val="00563AC5"/>
    <w:rsid w:val="00566142"/>
    <w:rsid w:val="00567331"/>
    <w:rsid w:val="0057143E"/>
    <w:rsid w:val="005717F8"/>
    <w:rsid w:val="00574C31"/>
    <w:rsid w:val="00574E72"/>
    <w:rsid w:val="005758C6"/>
    <w:rsid w:val="00575C68"/>
    <w:rsid w:val="00582D67"/>
    <w:rsid w:val="00582DDC"/>
    <w:rsid w:val="0059063C"/>
    <w:rsid w:val="00591C0F"/>
    <w:rsid w:val="00593C5F"/>
    <w:rsid w:val="005959ED"/>
    <w:rsid w:val="00596261"/>
    <w:rsid w:val="005A0C71"/>
    <w:rsid w:val="005A365C"/>
    <w:rsid w:val="005B3559"/>
    <w:rsid w:val="005B451F"/>
    <w:rsid w:val="005B5B3B"/>
    <w:rsid w:val="005B63AF"/>
    <w:rsid w:val="005B670D"/>
    <w:rsid w:val="005C15D3"/>
    <w:rsid w:val="005C2BD5"/>
    <w:rsid w:val="005C432C"/>
    <w:rsid w:val="005C5AF5"/>
    <w:rsid w:val="005C5EF1"/>
    <w:rsid w:val="005D5C3F"/>
    <w:rsid w:val="005E3AB3"/>
    <w:rsid w:val="005E4E49"/>
    <w:rsid w:val="005E5240"/>
    <w:rsid w:val="005E6143"/>
    <w:rsid w:val="005E771B"/>
    <w:rsid w:val="005F0267"/>
    <w:rsid w:val="005F4680"/>
    <w:rsid w:val="005F747B"/>
    <w:rsid w:val="00600846"/>
    <w:rsid w:val="0060126D"/>
    <w:rsid w:val="0060183B"/>
    <w:rsid w:val="006023C4"/>
    <w:rsid w:val="00602CCD"/>
    <w:rsid w:val="00602EDE"/>
    <w:rsid w:val="006035A0"/>
    <w:rsid w:val="00605139"/>
    <w:rsid w:val="00606CC9"/>
    <w:rsid w:val="00612A43"/>
    <w:rsid w:val="00612FF5"/>
    <w:rsid w:val="006146AB"/>
    <w:rsid w:val="00615A02"/>
    <w:rsid w:val="006173E3"/>
    <w:rsid w:val="006203D6"/>
    <w:rsid w:val="00622DE4"/>
    <w:rsid w:val="00623615"/>
    <w:rsid w:val="00623636"/>
    <w:rsid w:val="00627E5F"/>
    <w:rsid w:val="00632678"/>
    <w:rsid w:val="00632E2E"/>
    <w:rsid w:val="006331E4"/>
    <w:rsid w:val="006332A9"/>
    <w:rsid w:val="00636731"/>
    <w:rsid w:val="00637628"/>
    <w:rsid w:val="00640468"/>
    <w:rsid w:val="00641DD1"/>
    <w:rsid w:val="00642579"/>
    <w:rsid w:val="00642B3A"/>
    <w:rsid w:val="00645093"/>
    <w:rsid w:val="00645351"/>
    <w:rsid w:val="00645F09"/>
    <w:rsid w:val="00646082"/>
    <w:rsid w:val="00646A7F"/>
    <w:rsid w:val="00651C1A"/>
    <w:rsid w:val="00655D3F"/>
    <w:rsid w:val="00656DA0"/>
    <w:rsid w:val="0066307D"/>
    <w:rsid w:val="00666FE2"/>
    <w:rsid w:val="00667516"/>
    <w:rsid w:val="00671030"/>
    <w:rsid w:val="006715B2"/>
    <w:rsid w:val="0067647E"/>
    <w:rsid w:val="00676D41"/>
    <w:rsid w:val="00681F6A"/>
    <w:rsid w:val="006833B9"/>
    <w:rsid w:val="006848E9"/>
    <w:rsid w:val="0068499F"/>
    <w:rsid w:val="00684AE5"/>
    <w:rsid w:val="006853B8"/>
    <w:rsid w:val="00685ECE"/>
    <w:rsid w:val="00686646"/>
    <w:rsid w:val="006875AA"/>
    <w:rsid w:val="00687C76"/>
    <w:rsid w:val="006918C0"/>
    <w:rsid w:val="006923E4"/>
    <w:rsid w:val="00692BFE"/>
    <w:rsid w:val="00692E47"/>
    <w:rsid w:val="0069351C"/>
    <w:rsid w:val="00693D72"/>
    <w:rsid w:val="00693F63"/>
    <w:rsid w:val="00695AC3"/>
    <w:rsid w:val="00697070"/>
    <w:rsid w:val="00697449"/>
    <w:rsid w:val="00697528"/>
    <w:rsid w:val="006A0279"/>
    <w:rsid w:val="006A04AD"/>
    <w:rsid w:val="006A071D"/>
    <w:rsid w:val="006A116D"/>
    <w:rsid w:val="006A1239"/>
    <w:rsid w:val="006A1EBC"/>
    <w:rsid w:val="006A3D3E"/>
    <w:rsid w:val="006A3D75"/>
    <w:rsid w:val="006A435C"/>
    <w:rsid w:val="006A44B5"/>
    <w:rsid w:val="006A5954"/>
    <w:rsid w:val="006A784B"/>
    <w:rsid w:val="006A7D31"/>
    <w:rsid w:val="006B1210"/>
    <w:rsid w:val="006B2B95"/>
    <w:rsid w:val="006B4DC6"/>
    <w:rsid w:val="006B5619"/>
    <w:rsid w:val="006B6254"/>
    <w:rsid w:val="006C0633"/>
    <w:rsid w:val="006C3433"/>
    <w:rsid w:val="006C5E25"/>
    <w:rsid w:val="006C5EDC"/>
    <w:rsid w:val="006C6D44"/>
    <w:rsid w:val="006C7B9E"/>
    <w:rsid w:val="006D234F"/>
    <w:rsid w:val="006D2586"/>
    <w:rsid w:val="006D3574"/>
    <w:rsid w:val="006D4F7C"/>
    <w:rsid w:val="006D5C7A"/>
    <w:rsid w:val="006E13FF"/>
    <w:rsid w:val="006E222A"/>
    <w:rsid w:val="006E57D1"/>
    <w:rsid w:val="006E58A7"/>
    <w:rsid w:val="006E7AA5"/>
    <w:rsid w:val="006F032D"/>
    <w:rsid w:val="006F04C8"/>
    <w:rsid w:val="006F082D"/>
    <w:rsid w:val="006F0898"/>
    <w:rsid w:val="006F1E9A"/>
    <w:rsid w:val="006F3599"/>
    <w:rsid w:val="006F37BC"/>
    <w:rsid w:val="006F6FFB"/>
    <w:rsid w:val="006F720F"/>
    <w:rsid w:val="0070016F"/>
    <w:rsid w:val="007017A0"/>
    <w:rsid w:val="00701A73"/>
    <w:rsid w:val="0070351C"/>
    <w:rsid w:val="0070458F"/>
    <w:rsid w:val="00705CD7"/>
    <w:rsid w:val="007068D0"/>
    <w:rsid w:val="0070697F"/>
    <w:rsid w:val="00706D8F"/>
    <w:rsid w:val="007108C0"/>
    <w:rsid w:val="007125F8"/>
    <w:rsid w:val="00715244"/>
    <w:rsid w:val="00715C7C"/>
    <w:rsid w:val="007225A7"/>
    <w:rsid w:val="00722A25"/>
    <w:rsid w:val="00723198"/>
    <w:rsid w:val="00726506"/>
    <w:rsid w:val="0072696F"/>
    <w:rsid w:val="00727187"/>
    <w:rsid w:val="00727BD2"/>
    <w:rsid w:val="00727D2D"/>
    <w:rsid w:val="007311E8"/>
    <w:rsid w:val="007320B3"/>
    <w:rsid w:val="00732F9E"/>
    <w:rsid w:val="00732FEF"/>
    <w:rsid w:val="00733EC9"/>
    <w:rsid w:val="0073696E"/>
    <w:rsid w:val="00740300"/>
    <w:rsid w:val="007424D1"/>
    <w:rsid w:val="007472FF"/>
    <w:rsid w:val="007501D5"/>
    <w:rsid w:val="00750C31"/>
    <w:rsid w:val="00751C0E"/>
    <w:rsid w:val="00753DBB"/>
    <w:rsid w:val="00754D85"/>
    <w:rsid w:val="007578D6"/>
    <w:rsid w:val="00762C39"/>
    <w:rsid w:val="007648DD"/>
    <w:rsid w:val="007650DE"/>
    <w:rsid w:val="007660A5"/>
    <w:rsid w:val="00766501"/>
    <w:rsid w:val="00767844"/>
    <w:rsid w:val="00771B03"/>
    <w:rsid w:val="00773F34"/>
    <w:rsid w:val="0077636E"/>
    <w:rsid w:val="007768CF"/>
    <w:rsid w:val="0078104C"/>
    <w:rsid w:val="00782F7C"/>
    <w:rsid w:val="007854CA"/>
    <w:rsid w:val="00786F18"/>
    <w:rsid w:val="00792633"/>
    <w:rsid w:val="00794ADC"/>
    <w:rsid w:val="00794D0F"/>
    <w:rsid w:val="00797CB4"/>
    <w:rsid w:val="007A103C"/>
    <w:rsid w:val="007A1606"/>
    <w:rsid w:val="007A30C1"/>
    <w:rsid w:val="007A3470"/>
    <w:rsid w:val="007A395C"/>
    <w:rsid w:val="007A61FA"/>
    <w:rsid w:val="007A65C9"/>
    <w:rsid w:val="007A7231"/>
    <w:rsid w:val="007A7E2F"/>
    <w:rsid w:val="007B022B"/>
    <w:rsid w:val="007B15EB"/>
    <w:rsid w:val="007B1A1D"/>
    <w:rsid w:val="007B1DBF"/>
    <w:rsid w:val="007B2051"/>
    <w:rsid w:val="007B3F20"/>
    <w:rsid w:val="007B4845"/>
    <w:rsid w:val="007B5827"/>
    <w:rsid w:val="007B62AB"/>
    <w:rsid w:val="007B6B4D"/>
    <w:rsid w:val="007B7FD0"/>
    <w:rsid w:val="007C01A6"/>
    <w:rsid w:val="007C01E7"/>
    <w:rsid w:val="007C2C90"/>
    <w:rsid w:val="007C3978"/>
    <w:rsid w:val="007C5007"/>
    <w:rsid w:val="007C567C"/>
    <w:rsid w:val="007C75D9"/>
    <w:rsid w:val="007C7CBA"/>
    <w:rsid w:val="007D12D9"/>
    <w:rsid w:val="007D5C09"/>
    <w:rsid w:val="007D6574"/>
    <w:rsid w:val="007E02FA"/>
    <w:rsid w:val="007E0518"/>
    <w:rsid w:val="007E2372"/>
    <w:rsid w:val="007E2D04"/>
    <w:rsid w:val="007E62CF"/>
    <w:rsid w:val="007E6737"/>
    <w:rsid w:val="007F045D"/>
    <w:rsid w:val="007F0488"/>
    <w:rsid w:val="007F0E10"/>
    <w:rsid w:val="007F423C"/>
    <w:rsid w:val="007F5371"/>
    <w:rsid w:val="007F5696"/>
    <w:rsid w:val="007F5E2C"/>
    <w:rsid w:val="008000C0"/>
    <w:rsid w:val="0080019C"/>
    <w:rsid w:val="008019E1"/>
    <w:rsid w:val="00802528"/>
    <w:rsid w:val="00802D57"/>
    <w:rsid w:val="00804557"/>
    <w:rsid w:val="00807921"/>
    <w:rsid w:val="00810B49"/>
    <w:rsid w:val="00812213"/>
    <w:rsid w:val="0081285B"/>
    <w:rsid w:val="00813F9B"/>
    <w:rsid w:val="008146A2"/>
    <w:rsid w:val="00817E1A"/>
    <w:rsid w:val="0082215C"/>
    <w:rsid w:val="00822500"/>
    <w:rsid w:val="0082428E"/>
    <w:rsid w:val="0082552C"/>
    <w:rsid w:val="00825B1B"/>
    <w:rsid w:val="00826464"/>
    <w:rsid w:val="00826E77"/>
    <w:rsid w:val="00832E11"/>
    <w:rsid w:val="008349D2"/>
    <w:rsid w:val="00834FB4"/>
    <w:rsid w:val="00837163"/>
    <w:rsid w:val="008378E7"/>
    <w:rsid w:val="0084032E"/>
    <w:rsid w:val="008418A8"/>
    <w:rsid w:val="008428CB"/>
    <w:rsid w:val="008432E8"/>
    <w:rsid w:val="00844340"/>
    <w:rsid w:val="00844C0A"/>
    <w:rsid w:val="008519D6"/>
    <w:rsid w:val="00851AE4"/>
    <w:rsid w:val="00853916"/>
    <w:rsid w:val="00861203"/>
    <w:rsid w:val="00861BE1"/>
    <w:rsid w:val="0086308C"/>
    <w:rsid w:val="00863887"/>
    <w:rsid w:val="00863F60"/>
    <w:rsid w:val="008643F2"/>
    <w:rsid w:val="00864880"/>
    <w:rsid w:val="00864BDC"/>
    <w:rsid w:val="00864CA9"/>
    <w:rsid w:val="00864ED1"/>
    <w:rsid w:val="00867CC4"/>
    <w:rsid w:val="00870B06"/>
    <w:rsid w:val="00870B25"/>
    <w:rsid w:val="00874215"/>
    <w:rsid w:val="00875622"/>
    <w:rsid w:val="00876688"/>
    <w:rsid w:val="0087785D"/>
    <w:rsid w:val="00882F6D"/>
    <w:rsid w:val="00883FDF"/>
    <w:rsid w:val="00887A73"/>
    <w:rsid w:val="0089050D"/>
    <w:rsid w:val="0089195F"/>
    <w:rsid w:val="008925EF"/>
    <w:rsid w:val="008954BD"/>
    <w:rsid w:val="00896D58"/>
    <w:rsid w:val="00897678"/>
    <w:rsid w:val="008A24D1"/>
    <w:rsid w:val="008A34DE"/>
    <w:rsid w:val="008A5986"/>
    <w:rsid w:val="008A73E2"/>
    <w:rsid w:val="008B1677"/>
    <w:rsid w:val="008B430F"/>
    <w:rsid w:val="008B487A"/>
    <w:rsid w:val="008B5415"/>
    <w:rsid w:val="008B616B"/>
    <w:rsid w:val="008C21F3"/>
    <w:rsid w:val="008C464D"/>
    <w:rsid w:val="008C739E"/>
    <w:rsid w:val="008D1D42"/>
    <w:rsid w:val="008D3B21"/>
    <w:rsid w:val="008D44C0"/>
    <w:rsid w:val="008D6ED4"/>
    <w:rsid w:val="008E096D"/>
    <w:rsid w:val="008E2169"/>
    <w:rsid w:val="008E3C33"/>
    <w:rsid w:val="008E403F"/>
    <w:rsid w:val="008E4C14"/>
    <w:rsid w:val="008E6181"/>
    <w:rsid w:val="008E693E"/>
    <w:rsid w:val="008F02A8"/>
    <w:rsid w:val="008F0DA0"/>
    <w:rsid w:val="008F0DD0"/>
    <w:rsid w:val="008F19A5"/>
    <w:rsid w:val="008F1DAD"/>
    <w:rsid w:val="008F2D54"/>
    <w:rsid w:val="008F2D78"/>
    <w:rsid w:val="008F35CD"/>
    <w:rsid w:val="008F3A87"/>
    <w:rsid w:val="008F53F3"/>
    <w:rsid w:val="008F6321"/>
    <w:rsid w:val="008F774A"/>
    <w:rsid w:val="009024DD"/>
    <w:rsid w:val="009031D8"/>
    <w:rsid w:val="00907660"/>
    <w:rsid w:val="0091020B"/>
    <w:rsid w:val="00910AB5"/>
    <w:rsid w:val="00911CF8"/>
    <w:rsid w:val="00912736"/>
    <w:rsid w:val="00912C32"/>
    <w:rsid w:val="00914AA0"/>
    <w:rsid w:val="00915C60"/>
    <w:rsid w:val="00920FD1"/>
    <w:rsid w:val="00925889"/>
    <w:rsid w:val="00926027"/>
    <w:rsid w:val="00926A81"/>
    <w:rsid w:val="009273D4"/>
    <w:rsid w:val="0093014D"/>
    <w:rsid w:val="0093136F"/>
    <w:rsid w:val="0093412A"/>
    <w:rsid w:val="00935759"/>
    <w:rsid w:val="009379E0"/>
    <w:rsid w:val="00937CAD"/>
    <w:rsid w:val="00940CBF"/>
    <w:rsid w:val="009418A0"/>
    <w:rsid w:val="009423A1"/>
    <w:rsid w:val="00943D25"/>
    <w:rsid w:val="00943F09"/>
    <w:rsid w:val="00944551"/>
    <w:rsid w:val="0094487B"/>
    <w:rsid w:val="009452E1"/>
    <w:rsid w:val="00946F73"/>
    <w:rsid w:val="009478D0"/>
    <w:rsid w:val="009530E8"/>
    <w:rsid w:val="009533B7"/>
    <w:rsid w:val="00954CC2"/>
    <w:rsid w:val="009552B2"/>
    <w:rsid w:val="00956068"/>
    <w:rsid w:val="00961ECB"/>
    <w:rsid w:val="00962C08"/>
    <w:rsid w:val="0096358E"/>
    <w:rsid w:val="0096691F"/>
    <w:rsid w:val="00967E16"/>
    <w:rsid w:val="00970DD3"/>
    <w:rsid w:val="00971100"/>
    <w:rsid w:val="00974E9A"/>
    <w:rsid w:val="00976445"/>
    <w:rsid w:val="009764E9"/>
    <w:rsid w:val="00976F0C"/>
    <w:rsid w:val="00982517"/>
    <w:rsid w:val="00982814"/>
    <w:rsid w:val="009854B0"/>
    <w:rsid w:val="00987CAF"/>
    <w:rsid w:val="00990292"/>
    <w:rsid w:val="00991D1A"/>
    <w:rsid w:val="0099240B"/>
    <w:rsid w:val="00994A71"/>
    <w:rsid w:val="009955E0"/>
    <w:rsid w:val="00995AE4"/>
    <w:rsid w:val="00995C1A"/>
    <w:rsid w:val="00995EDC"/>
    <w:rsid w:val="00997750"/>
    <w:rsid w:val="00997BB3"/>
    <w:rsid w:val="009A08AE"/>
    <w:rsid w:val="009A09A6"/>
    <w:rsid w:val="009A0FD0"/>
    <w:rsid w:val="009A185A"/>
    <w:rsid w:val="009A2434"/>
    <w:rsid w:val="009A2E6E"/>
    <w:rsid w:val="009A490C"/>
    <w:rsid w:val="009A724B"/>
    <w:rsid w:val="009B0269"/>
    <w:rsid w:val="009B0FDC"/>
    <w:rsid w:val="009B16A7"/>
    <w:rsid w:val="009B1F52"/>
    <w:rsid w:val="009B2699"/>
    <w:rsid w:val="009B2E4B"/>
    <w:rsid w:val="009B45AB"/>
    <w:rsid w:val="009B4F72"/>
    <w:rsid w:val="009B5486"/>
    <w:rsid w:val="009B69BC"/>
    <w:rsid w:val="009B7174"/>
    <w:rsid w:val="009B7500"/>
    <w:rsid w:val="009B7C9C"/>
    <w:rsid w:val="009C015E"/>
    <w:rsid w:val="009C01BC"/>
    <w:rsid w:val="009C0CC7"/>
    <w:rsid w:val="009C0F3E"/>
    <w:rsid w:val="009C3DF1"/>
    <w:rsid w:val="009C50D4"/>
    <w:rsid w:val="009C5A5D"/>
    <w:rsid w:val="009C74DD"/>
    <w:rsid w:val="009D022C"/>
    <w:rsid w:val="009D07DC"/>
    <w:rsid w:val="009D132D"/>
    <w:rsid w:val="009D22BF"/>
    <w:rsid w:val="009D3521"/>
    <w:rsid w:val="009D4E86"/>
    <w:rsid w:val="009D60A1"/>
    <w:rsid w:val="009D76BC"/>
    <w:rsid w:val="009E0589"/>
    <w:rsid w:val="009E060A"/>
    <w:rsid w:val="009E10A4"/>
    <w:rsid w:val="009E146E"/>
    <w:rsid w:val="009E25E1"/>
    <w:rsid w:val="009E26B3"/>
    <w:rsid w:val="009E2CA5"/>
    <w:rsid w:val="009E2EE8"/>
    <w:rsid w:val="009E3611"/>
    <w:rsid w:val="009F0E01"/>
    <w:rsid w:val="009F1217"/>
    <w:rsid w:val="009F4C55"/>
    <w:rsid w:val="009F5E65"/>
    <w:rsid w:val="009F6D32"/>
    <w:rsid w:val="009F7448"/>
    <w:rsid w:val="00A01022"/>
    <w:rsid w:val="00A0128E"/>
    <w:rsid w:val="00A02881"/>
    <w:rsid w:val="00A02EF2"/>
    <w:rsid w:val="00A051F7"/>
    <w:rsid w:val="00A07CB0"/>
    <w:rsid w:val="00A106BA"/>
    <w:rsid w:val="00A118AD"/>
    <w:rsid w:val="00A13376"/>
    <w:rsid w:val="00A13E57"/>
    <w:rsid w:val="00A14383"/>
    <w:rsid w:val="00A15901"/>
    <w:rsid w:val="00A16153"/>
    <w:rsid w:val="00A209A5"/>
    <w:rsid w:val="00A20A90"/>
    <w:rsid w:val="00A20C4C"/>
    <w:rsid w:val="00A21432"/>
    <w:rsid w:val="00A24860"/>
    <w:rsid w:val="00A254A4"/>
    <w:rsid w:val="00A30FEC"/>
    <w:rsid w:val="00A3357C"/>
    <w:rsid w:val="00A352BA"/>
    <w:rsid w:val="00A36B20"/>
    <w:rsid w:val="00A408DE"/>
    <w:rsid w:val="00A45571"/>
    <w:rsid w:val="00A461CD"/>
    <w:rsid w:val="00A53D87"/>
    <w:rsid w:val="00A611EA"/>
    <w:rsid w:val="00A626B7"/>
    <w:rsid w:val="00A628DA"/>
    <w:rsid w:val="00A62A91"/>
    <w:rsid w:val="00A62C9F"/>
    <w:rsid w:val="00A63B58"/>
    <w:rsid w:val="00A63B9A"/>
    <w:rsid w:val="00A6416C"/>
    <w:rsid w:val="00A65CA3"/>
    <w:rsid w:val="00A66BA8"/>
    <w:rsid w:val="00A66DEF"/>
    <w:rsid w:val="00A70B9C"/>
    <w:rsid w:val="00A71D09"/>
    <w:rsid w:val="00A72D2B"/>
    <w:rsid w:val="00A73253"/>
    <w:rsid w:val="00A73323"/>
    <w:rsid w:val="00A73928"/>
    <w:rsid w:val="00A75C48"/>
    <w:rsid w:val="00A7772D"/>
    <w:rsid w:val="00A82ACA"/>
    <w:rsid w:val="00A87AD8"/>
    <w:rsid w:val="00A944B2"/>
    <w:rsid w:val="00A9464C"/>
    <w:rsid w:val="00A947CD"/>
    <w:rsid w:val="00A94CF2"/>
    <w:rsid w:val="00A96077"/>
    <w:rsid w:val="00A9645C"/>
    <w:rsid w:val="00A969A4"/>
    <w:rsid w:val="00AA14A9"/>
    <w:rsid w:val="00AA28C6"/>
    <w:rsid w:val="00AA5A7C"/>
    <w:rsid w:val="00AA78CA"/>
    <w:rsid w:val="00AA7D1A"/>
    <w:rsid w:val="00AB1134"/>
    <w:rsid w:val="00AB2FF1"/>
    <w:rsid w:val="00AB47BB"/>
    <w:rsid w:val="00AB4E54"/>
    <w:rsid w:val="00AC3418"/>
    <w:rsid w:val="00AC4EB6"/>
    <w:rsid w:val="00AC662A"/>
    <w:rsid w:val="00AC79FA"/>
    <w:rsid w:val="00AD366A"/>
    <w:rsid w:val="00AD402D"/>
    <w:rsid w:val="00AD7EC2"/>
    <w:rsid w:val="00AE2D01"/>
    <w:rsid w:val="00AE3E89"/>
    <w:rsid w:val="00AE43C3"/>
    <w:rsid w:val="00AE5104"/>
    <w:rsid w:val="00AE6067"/>
    <w:rsid w:val="00AF0487"/>
    <w:rsid w:val="00AF05F3"/>
    <w:rsid w:val="00AF09EC"/>
    <w:rsid w:val="00AF369B"/>
    <w:rsid w:val="00AF57B7"/>
    <w:rsid w:val="00AF6052"/>
    <w:rsid w:val="00AF6478"/>
    <w:rsid w:val="00B0395A"/>
    <w:rsid w:val="00B040F2"/>
    <w:rsid w:val="00B12271"/>
    <w:rsid w:val="00B124BE"/>
    <w:rsid w:val="00B1309B"/>
    <w:rsid w:val="00B132C0"/>
    <w:rsid w:val="00B14F58"/>
    <w:rsid w:val="00B155E1"/>
    <w:rsid w:val="00B1676A"/>
    <w:rsid w:val="00B16D88"/>
    <w:rsid w:val="00B17053"/>
    <w:rsid w:val="00B17784"/>
    <w:rsid w:val="00B20936"/>
    <w:rsid w:val="00B20C33"/>
    <w:rsid w:val="00B22474"/>
    <w:rsid w:val="00B22800"/>
    <w:rsid w:val="00B2419C"/>
    <w:rsid w:val="00B257A0"/>
    <w:rsid w:val="00B25AA9"/>
    <w:rsid w:val="00B26B98"/>
    <w:rsid w:val="00B27CCF"/>
    <w:rsid w:val="00B30711"/>
    <w:rsid w:val="00B3441B"/>
    <w:rsid w:val="00B347DB"/>
    <w:rsid w:val="00B34AB6"/>
    <w:rsid w:val="00B40630"/>
    <w:rsid w:val="00B4168F"/>
    <w:rsid w:val="00B43C4B"/>
    <w:rsid w:val="00B442D6"/>
    <w:rsid w:val="00B46D16"/>
    <w:rsid w:val="00B53677"/>
    <w:rsid w:val="00B54959"/>
    <w:rsid w:val="00B56E60"/>
    <w:rsid w:val="00B60BF3"/>
    <w:rsid w:val="00B636A4"/>
    <w:rsid w:val="00B67B57"/>
    <w:rsid w:val="00B71906"/>
    <w:rsid w:val="00B71F7D"/>
    <w:rsid w:val="00B72B58"/>
    <w:rsid w:val="00B72F60"/>
    <w:rsid w:val="00B76C92"/>
    <w:rsid w:val="00B83352"/>
    <w:rsid w:val="00B84931"/>
    <w:rsid w:val="00B84E13"/>
    <w:rsid w:val="00B85276"/>
    <w:rsid w:val="00B861FA"/>
    <w:rsid w:val="00B865B8"/>
    <w:rsid w:val="00B86896"/>
    <w:rsid w:val="00B9074F"/>
    <w:rsid w:val="00B90ABE"/>
    <w:rsid w:val="00B9268F"/>
    <w:rsid w:val="00B9352E"/>
    <w:rsid w:val="00B94415"/>
    <w:rsid w:val="00B945AB"/>
    <w:rsid w:val="00B966C8"/>
    <w:rsid w:val="00B97C6C"/>
    <w:rsid w:val="00BA06FD"/>
    <w:rsid w:val="00BA0FB7"/>
    <w:rsid w:val="00BA10EB"/>
    <w:rsid w:val="00BA114C"/>
    <w:rsid w:val="00BA2FF7"/>
    <w:rsid w:val="00BA3052"/>
    <w:rsid w:val="00BA4042"/>
    <w:rsid w:val="00BA5F62"/>
    <w:rsid w:val="00BA6FDC"/>
    <w:rsid w:val="00BA704F"/>
    <w:rsid w:val="00BB17D1"/>
    <w:rsid w:val="00BB19DD"/>
    <w:rsid w:val="00BB1D2D"/>
    <w:rsid w:val="00BB24E6"/>
    <w:rsid w:val="00BB2A71"/>
    <w:rsid w:val="00BB2A8B"/>
    <w:rsid w:val="00BB5EAA"/>
    <w:rsid w:val="00BC2157"/>
    <w:rsid w:val="00BC6AE7"/>
    <w:rsid w:val="00BD34F7"/>
    <w:rsid w:val="00BD665A"/>
    <w:rsid w:val="00BD6DBD"/>
    <w:rsid w:val="00BE2A82"/>
    <w:rsid w:val="00BE4579"/>
    <w:rsid w:val="00BE515C"/>
    <w:rsid w:val="00BE56CB"/>
    <w:rsid w:val="00BF2E7B"/>
    <w:rsid w:val="00BF2F28"/>
    <w:rsid w:val="00BF3276"/>
    <w:rsid w:val="00BF5BFC"/>
    <w:rsid w:val="00BF7062"/>
    <w:rsid w:val="00BF73AD"/>
    <w:rsid w:val="00C01EFB"/>
    <w:rsid w:val="00C0433E"/>
    <w:rsid w:val="00C0487F"/>
    <w:rsid w:val="00C07FDB"/>
    <w:rsid w:val="00C10001"/>
    <w:rsid w:val="00C13E5E"/>
    <w:rsid w:val="00C148F1"/>
    <w:rsid w:val="00C14E25"/>
    <w:rsid w:val="00C15405"/>
    <w:rsid w:val="00C205B2"/>
    <w:rsid w:val="00C21B80"/>
    <w:rsid w:val="00C22BB7"/>
    <w:rsid w:val="00C23FEC"/>
    <w:rsid w:val="00C24BEC"/>
    <w:rsid w:val="00C25FA1"/>
    <w:rsid w:val="00C2639B"/>
    <w:rsid w:val="00C26E4D"/>
    <w:rsid w:val="00C27A51"/>
    <w:rsid w:val="00C316C6"/>
    <w:rsid w:val="00C31934"/>
    <w:rsid w:val="00C33AF3"/>
    <w:rsid w:val="00C405FF"/>
    <w:rsid w:val="00C421A5"/>
    <w:rsid w:val="00C422C7"/>
    <w:rsid w:val="00C4496E"/>
    <w:rsid w:val="00C50F9D"/>
    <w:rsid w:val="00C5272C"/>
    <w:rsid w:val="00C5322D"/>
    <w:rsid w:val="00C5569B"/>
    <w:rsid w:val="00C55B99"/>
    <w:rsid w:val="00C564EF"/>
    <w:rsid w:val="00C62334"/>
    <w:rsid w:val="00C62980"/>
    <w:rsid w:val="00C6511F"/>
    <w:rsid w:val="00C66020"/>
    <w:rsid w:val="00C67AE6"/>
    <w:rsid w:val="00C67D4A"/>
    <w:rsid w:val="00C70F84"/>
    <w:rsid w:val="00C7111C"/>
    <w:rsid w:val="00C71797"/>
    <w:rsid w:val="00C722BF"/>
    <w:rsid w:val="00C726BC"/>
    <w:rsid w:val="00C74F8B"/>
    <w:rsid w:val="00C76F4D"/>
    <w:rsid w:val="00C8160E"/>
    <w:rsid w:val="00C82D89"/>
    <w:rsid w:val="00C83B7D"/>
    <w:rsid w:val="00C8489B"/>
    <w:rsid w:val="00C84F48"/>
    <w:rsid w:val="00C85677"/>
    <w:rsid w:val="00C85ED5"/>
    <w:rsid w:val="00C8645E"/>
    <w:rsid w:val="00C869CF"/>
    <w:rsid w:val="00C90BCB"/>
    <w:rsid w:val="00C92A32"/>
    <w:rsid w:val="00C92E04"/>
    <w:rsid w:val="00C92F58"/>
    <w:rsid w:val="00C96DEC"/>
    <w:rsid w:val="00C97618"/>
    <w:rsid w:val="00C97738"/>
    <w:rsid w:val="00CA09DC"/>
    <w:rsid w:val="00CA2481"/>
    <w:rsid w:val="00CA5E7A"/>
    <w:rsid w:val="00CA7777"/>
    <w:rsid w:val="00CB0D6A"/>
    <w:rsid w:val="00CB0DAA"/>
    <w:rsid w:val="00CB18BD"/>
    <w:rsid w:val="00CB24B5"/>
    <w:rsid w:val="00CB55FF"/>
    <w:rsid w:val="00CB5E76"/>
    <w:rsid w:val="00CC0143"/>
    <w:rsid w:val="00CC0DDE"/>
    <w:rsid w:val="00CC12AA"/>
    <w:rsid w:val="00CC2208"/>
    <w:rsid w:val="00CC28CE"/>
    <w:rsid w:val="00CD1A16"/>
    <w:rsid w:val="00CD1D6B"/>
    <w:rsid w:val="00CD6065"/>
    <w:rsid w:val="00CD6916"/>
    <w:rsid w:val="00CD6FD0"/>
    <w:rsid w:val="00CD702F"/>
    <w:rsid w:val="00CD7AC1"/>
    <w:rsid w:val="00CE3674"/>
    <w:rsid w:val="00CF0E6F"/>
    <w:rsid w:val="00CF135F"/>
    <w:rsid w:val="00CF3392"/>
    <w:rsid w:val="00CF3D2E"/>
    <w:rsid w:val="00CF3DA9"/>
    <w:rsid w:val="00CF3EA1"/>
    <w:rsid w:val="00CF5E94"/>
    <w:rsid w:val="00CF7228"/>
    <w:rsid w:val="00D01DE1"/>
    <w:rsid w:val="00D02C82"/>
    <w:rsid w:val="00D0571C"/>
    <w:rsid w:val="00D06563"/>
    <w:rsid w:val="00D06DE9"/>
    <w:rsid w:val="00D07168"/>
    <w:rsid w:val="00D131B5"/>
    <w:rsid w:val="00D1337B"/>
    <w:rsid w:val="00D15346"/>
    <w:rsid w:val="00D20507"/>
    <w:rsid w:val="00D20647"/>
    <w:rsid w:val="00D21502"/>
    <w:rsid w:val="00D21722"/>
    <w:rsid w:val="00D23AA6"/>
    <w:rsid w:val="00D240C6"/>
    <w:rsid w:val="00D245FB"/>
    <w:rsid w:val="00D25201"/>
    <w:rsid w:val="00D316E4"/>
    <w:rsid w:val="00D31AEB"/>
    <w:rsid w:val="00D32301"/>
    <w:rsid w:val="00D32F4D"/>
    <w:rsid w:val="00D360FA"/>
    <w:rsid w:val="00D40374"/>
    <w:rsid w:val="00D40948"/>
    <w:rsid w:val="00D40DEE"/>
    <w:rsid w:val="00D470AD"/>
    <w:rsid w:val="00D5138F"/>
    <w:rsid w:val="00D51EC3"/>
    <w:rsid w:val="00D54F3B"/>
    <w:rsid w:val="00D56F2E"/>
    <w:rsid w:val="00D6113A"/>
    <w:rsid w:val="00D63C05"/>
    <w:rsid w:val="00D643E6"/>
    <w:rsid w:val="00D649D6"/>
    <w:rsid w:val="00D65164"/>
    <w:rsid w:val="00D6652D"/>
    <w:rsid w:val="00D708D3"/>
    <w:rsid w:val="00D7245F"/>
    <w:rsid w:val="00D736C5"/>
    <w:rsid w:val="00D7395F"/>
    <w:rsid w:val="00D75910"/>
    <w:rsid w:val="00D772D1"/>
    <w:rsid w:val="00D77A5F"/>
    <w:rsid w:val="00D83042"/>
    <w:rsid w:val="00D838F7"/>
    <w:rsid w:val="00D8612B"/>
    <w:rsid w:val="00D86904"/>
    <w:rsid w:val="00D905CA"/>
    <w:rsid w:val="00D937BE"/>
    <w:rsid w:val="00D9695C"/>
    <w:rsid w:val="00D97E98"/>
    <w:rsid w:val="00DA3C23"/>
    <w:rsid w:val="00DA406B"/>
    <w:rsid w:val="00DA4BB9"/>
    <w:rsid w:val="00DA5051"/>
    <w:rsid w:val="00DA5682"/>
    <w:rsid w:val="00DA57F5"/>
    <w:rsid w:val="00DA78F2"/>
    <w:rsid w:val="00DB00FD"/>
    <w:rsid w:val="00DB1418"/>
    <w:rsid w:val="00DB3917"/>
    <w:rsid w:val="00DB4656"/>
    <w:rsid w:val="00DC0740"/>
    <w:rsid w:val="00DC148A"/>
    <w:rsid w:val="00DC21D2"/>
    <w:rsid w:val="00DC296B"/>
    <w:rsid w:val="00DC2B77"/>
    <w:rsid w:val="00DC3820"/>
    <w:rsid w:val="00DC3DA9"/>
    <w:rsid w:val="00DC6A11"/>
    <w:rsid w:val="00DC6E50"/>
    <w:rsid w:val="00DC7FC3"/>
    <w:rsid w:val="00DD0EED"/>
    <w:rsid w:val="00DD1169"/>
    <w:rsid w:val="00DD17AB"/>
    <w:rsid w:val="00DD1EB3"/>
    <w:rsid w:val="00DD2BA3"/>
    <w:rsid w:val="00DD3551"/>
    <w:rsid w:val="00DD423F"/>
    <w:rsid w:val="00DD46C5"/>
    <w:rsid w:val="00DD6B9D"/>
    <w:rsid w:val="00DE1067"/>
    <w:rsid w:val="00DE2A60"/>
    <w:rsid w:val="00DE51C5"/>
    <w:rsid w:val="00DE68DB"/>
    <w:rsid w:val="00DE6AFC"/>
    <w:rsid w:val="00DE7164"/>
    <w:rsid w:val="00DE7C53"/>
    <w:rsid w:val="00DF2B04"/>
    <w:rsid w:val="00DF2E1D"/>
    <w:rsid w:val="00DF6460"/>
    <w:rsid w:val="00E00674"/>
    <w:rsid w:val="00E0226C"/>
    <w:rsid w:val="00E02A27"/>
    <w:rsid w:val="00E06100"/>
    <w:rsid w:val="00E1008C"/>
    <w:rsid w:val="00E124AA"/>
    <w:rsid w:val="00E132B1"/>
    <w:rsid w:val="00E13CFE"/>
    <w:rsid w:val="00E16613"/>
    <w:rsid w:val="00E21A8F"/>
    <w:rsid w:val="00E21D9D"/>
    <w:rsid w:val="00E23200"/>
    <w:rsid w:val="00E25855"/>
    <w:rsid w:val="00E32459"/>
    <w:rsid w:val="00E3365F"/>
    <w:rsid w:val="00E345F9"/>
    <w:rsid w:val="00E34635"/>
    <w:rsid w:val="00E361A9"/>
    <w:rsid w:val="00E37E8B"/>
    <w:rsid w:val="00E40D89"/>
    <w:rsid w:val="00E40E26"/>
    <w:rsid w:val="00E41C1B"/>
    <w:rsid w:val="00E4242E"/>
    <w:rsid w:val="00E43C2E"/>
    <w:rsid w:val="00E47DB7"/>
    <w:rsid w:val="00E52A7B"/>
    <w:rsid w:val="00E571C0"/>
    <w:rsid w:val="00E6174D"/>
    <w:rsid w:val="00E62069"/>
    <w:rsid w:val="00E621CE"/>
    <w:rsid w:val="00E62254"/>
    <w:rsid w:val="00E65342"/>
    <w:rsid w:val="00E65525"/>
    <w:rsid w:val="00E712D0"/>
    <w:rsid w:val="00E71326"/>
    <w:rsid w:val="00E73612"/>
    <w:rsid w:val="00E75288"/>
    <w:rsid w:val="00E75A37"/>
    <w:rsid w:val="00E823B3"/>
    <w:rsid w:val="00E8484F"/>
    <w:rsid w:val="00E872ED"/>
    <w:rsid w:val="00E92064"/>
    <w:rsid w:val="00E9387A"/>
    <w:rsid w:val="00E9480C"/>
    <w:rsid w:val="00E95663"/>
    <w:rsid w:val="00E964C0"/>
    <w:rsid w:val="00EA2B62"/>
    <w:rsid w:val="00EA2E42"/>
    <w:rsid w:val="00EA32F0"/>
    <w:rsid w:val="00EA375D"/>
    <w:rsid w:val="00EA3900"/>
    <w:rsid w:val="00EA5B77"/>
    <w:rsid w:val="00EA70D7"/>
    <w:rsid w:val="00EA7A33"/>
    <w:rsid w:val="00EB1185"/>
    <w:rsid w:val="00EB49CB"/>
    <w:rsid w:val="00EB4E0E"/>
    <w:rsid w:val="00EB6709"/>
    <w:rsid w:val="00EB68D5"/>
    <w:rsid w:val="00EB6ADE"/>
    <w:rsid w:val="00EC0746"/>
    <w:rsid w:val="00EC38A6"/>
    <w:rsid w:val="00EC3EA3"/>
    <w:rsid w:val="00EC5EF7"/>
    <w:rsid w:val="00EC5F17"/>
    <w:rsid w:val="00EC713F"/>
    <w:rsid w:val="00ED1427"/>
    <w:rsid w:val="00ED1E9A"/>
    <w:rsid w:val="00ED1FBA"/>
    <w:rsid w:val="00ED30D4"/>
    <w:rsid w:val="00ED4F82"/>
    <w:rsid w:val="00EE0C04"/>
    <w:rsid w:val="00EE5D50"/>
    <w:rsid w:val="00EE70DE"/>
    <w:rsid w:val="00EF0B09"/>
    <w:rsid w:val="00EF0D62"/>
    <w:rsid w:val="00EF2850"/>
    <w:rsid w:val="00EF2CDB"/>
    <w:rsid w:val="00EF36CE"/>
    <w:rsid w:val="00EF3CDA"/>
    <w:rsid w:val="00EF4E2A"/>
    <w:rsid w:val="00EF57DF"/>
    <w:rsid w:val="00EF7FD8"/>
    <w:rsid w:val="00F009FD"/>
    <w:rsid w:val="00F00B71"/>
    <w:rsid w:val="00F0102D"/>
    <w:rsid w:val="00F02CF1"/>
    <w:rsid w:val="00F03EA2"/>
    <w:rsid w:val="00F04FEA"/>
    <w:rsid w:val="00F052E8"/>
    <w:rsid w:val="00F05D9C"/>
    <w:rsid w:val="00F05F6B"/>
    <w:rsid w:val="00F06867"/>
    <w:rsid w:val="00F10140"/>
    <w:rsid w:val="00F11EE5"/>
    <w:rsid w:val="00F121A1"/>
    <w:rsid w:val="00F14D19"/>
    <w:rsid w:val="00F15BCF"/>
    <w:rsid w:val="00F17AD7"/>
    <w:rsid w:val="00F231EB"/>
    <w:rsid w:val="00F24B5E"/>
    <w:rsid w:val="00F25325"/>
    <w:rsid w:val="00F2559B"/>
    <w:rsid w:val="00F25E80"/>
    <w:rsid w:val="00F272F2"/>
    <w:rsid w:val="00F3163A"/>
    <w:rsid w:val="00F31C91"/>
    <w:rsid w:val="00F31C96"/>
    <w:rsid w:val="00F32FDC"/>
    <w:rsid w:val="00F3366D"/>
    <w:rsid w:val="00F33A27"/>
    <w:rsid w:val="00F354B5"/>
    <w:rsid w:val="00F367EE"/>
    <w:rsid w:val="00F36A3F"/>
    <w:rsid w:val="00F37F49"/>
    <w:rsid w:val="00F4073A"/>
    <w:rsid w:val="00F41E39"/>
    <w:rsid w:val="00F4343F"/>
    <w:rsid w:val="00F441E9"/>
    <w:rsid w:val="00F4528C"/>
    <w:rsid w:val="00F45D54"/>
    <w:rsid w:val="00F50236"/>
    <w:rsid w:val="00F50368"/>
    <w:rsid w:val="00F5146C"/>
    <w:rsid w:val="00F52DC1"/>
    <w:rsid w:val="00F53FD2"/>
    <w:rsid w:val="00F54863"/>
    <w:rsid w:val="00F56186"/>
    <w:rsid w:val="00F57C87"/>
    <w:rsid w:val="00F61D20"/>
    <w:rsid w:val="00F61DA9"/>
    <w:rsid w:val="00F624C8"/>
    <w:rsid w:val="00F66BC3"/>
    <w:rsid w:val="00F705D3"/>
    <w:rsid w:val="00F7133F"/>
    <w:rsid w:val="00F74275"/>
    <w:rsid w:val="00F7452B"/>
    <w:rsid w:val="00F87119"/>
    <w:rsid w:val="00F90C10"/>
    <w:rsid w:val="00F91659"/>
    <w:rsid w:val="00F91E2B"/>
    <w:rsid w:val="00F924BD"/>
    <w:rsid w:val="00F92D02"/>
    <w:rsid w:val="00F94204"/>
    <w:rsid w:val="00F95BD0"/>
    <w:rsid w:val="00FA0BD3"/>
    <w:rsid w:val="00FA20FA"/>
    <w:rsid w:val="00FA6EAD"/>
    <w:rsid w:val="00FA78E8"/>
    <w:rsid w:val="00FB000F"/>
    <w:rsid w:val="00FB0B60"/>
    <w:rsid w:val="00FB0ED6"/>
    <w:rsid w:val="00FB1696"/>
    <w:rsid w:val="00FB2154"/>
    <w:rsid w:val="00FB7968"/>
    <w:rsid w:val="00FB79A0"/>
    <w:rsid w:val="00FC2F4F"/>
    <w:rsid w:val="00FC3D10"/>
    <w:rsid w:val="00FC4569"/>
    <w:rsid w:val="00FC4819"/>
    <w:rsid w:val="00FC57DA"/>
    <w:rsid w:val="00FC5EC8"/>
    <w:rsid w:val="00FC7FB4"/>
    <w:rsid w:val="00FD021C"/>
    <w:rsid w:val="00FD247C"/>
    <w:rsid w:val="00FD606A"/>
    <w:rsid w:val="00FD7597"/>
    <w:rsid w:val="00FE0B66"/>
    <w:rsid w:val="00FE17C3"/>
    <w:rsid w:val="00FE2133"/>
    <w:rsid w:val="00FE3821"/>
    <w:rsid w:val="00FE4C51"/>
    <w:rsid w:val="00FE5714"/>
    <w:rsid w:val="00FE5FBF"/>
    <w:rsid w:val="00FE63A5"/>
    <w:rsid w:val="00FE6E2B"/>
    <w:rsid w:val="00FE770B"/>
    <w:rsid w:val="00FE78F5"/>
    <w:rsid w:val="00FE7DE6"/>
    <w:rsid w:val="00FF0969"/>
    <w:rsid w:val="00FF0E3F"/>
    <w:rsid w:val="00FF45C6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4:docId w14:val="61EFEDFA"/>
  <w15:docId w15:val="{C40C5C98-0DC2-47D9-ABE5-4DFF53B8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636"/>
    <w:rPr>
      <w:rFonts w:ascii="Arial" w:eastAsia="Calibri" w:hAnsi="Arial" w:cs="Times New Roman"/>
      <w:szCs w:val="20"/>
      <w:lang w:eastAsia="hr-HR"/>
    </w:rPr>
  </w:style>
  <w:style w:type="paragraph" w:styleId="Heading1">
    <w:name w:val="heading 1"/>
    <w:aliases w:val="h1"/>
    <w:basedOn w:val="Normal"/>
    <w:next w:val="Normal"/>
    <w:link w:val="Heading1Char"/>
    <w:qFormat/>
    <w:rsid w:val="00D240C6"/>
    <w:pPr>
      <w:keepNext/>
      <w:tabs>
        <w:tab w:val="left" w:pos="-72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spacing w:val="-3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A6EB0"/>
    <w:pPr>
      <w:ind w:left="720"/>
      <w:contextualSpacing/>
    </w:pPr>
  </w:style>
  <w:style w:type="paragraph" w:customStyle="1" w:styleId="TT">
    <w:name w:val="TT"/>
    <w:basedOn w:val="Normal"/>
    <w:rsid w:val="007E6737"/>
    <w:pPr>
      <w:tabs>
        <w:tab w:val="right" w:pos="1202"/>
      </w:tabs>
      <w:spacing w:after="0" w:line="301" w:lineRule="exact"/>
      <w:outlineLvl w:val="0"/>
    </w:pPr>
    <w:rPr>
      <w:rFonts w:eastAsia="Times New Roman"/>
      <w:sz w:val="19"/>
      <w:lang w:val="en-GB" w:eastAsia="en-US"/>
    </w:rPr>
  </w:style>
  <w:style w:type="paragraph" w:customStyle="1" w:styleId="Thin">
    <w:name w:val="Thin"/>
    <w:basedOn w:val="Normal"/>
    <w:next w:val="Normal"/>
    <w:rsid w:val="007E6737"/>
    <w:pPr>
      <w:keepNext/>
      <w:keepLines/>
      <w:tabs>
        <w:tab w:val="decimal" w:pos="1202"/>
      </w:tabs>
      <w:spacing w:after="0" w:line="100" w:lineRule="exact"/>
    </w:pPr>
    <w:rPr>
      <w:rFonts w:eastAsia="Times New Roman"/>
      <w:b/>
      <w:position w:val="4"/>
      <w:sz w:val="16"/>
      <w:lang w:val="en-US" w:eastAsia="en-US"/>
    </w:rPr>
  </w:style>
  <w:style w:type="paragraph" w:customStyle="1" w:styleId="Thick">
    <w:name w:val="Thick"/>
    <w:basedOn w:val="Thin"/>
    <w:next w:val="Normal"/>
    <w:rsid w:val="007E6737"/>
    <w:rPr>
      <w:u w:val="thick"/>
    </w:rPr>
  </w:style>
  <w:style w:type="paragraph" w:customStyle="1" w:styleId="TH">
    <w:name w:val="TH"/>
    <w:basedOn w:val="Normal"/>
    <w:rsid w:val="007E6737"/>
    <w:pPr>
      <w:tabs>
        <w:tab w:val="right" w:pos="1202"/>
      </w:tabs>
      <w:spacing w:after="0" w:line="240" w:lineRule="atLeast"/>
      <w:outlineLvl w:val="0"/>
    </w:pPr>
    <w:rPr>
      <w:rFonts w:eastAsia="Times New Roman"/>
      <w:b/>
      <w:sz w:val="19"/>
      <w:lang w:val="en-GB" w:eastAsia="en-US"/>
    </w:rPr>
  </w:style>
  <w:style w:type="paragraph" w:customStyle="1" w:styleId="PH">
    <w:name w:val="PH"/>
    <w:basedOn w:val="Header"/>
    <w:rsid w:val="007E6737"/>
    <w:pPr>
      <w:tabs>
        <w:tab w:val="clear" w:pos="4536"/>
        <w:tab w:val="clear" w:pos="9072"/>
      </w:tabs>
      <w:spacing w:line="301" w:lineRule="atLeast"/>
    </w:pPr>
    <w:rPr>
      <w:rFonts w:eastAsia="Times New Roman"/>
      <w:sz w:val="24"/>
      <w:lang w:val="en-GB" w:eastAsia="en-US"/>
    </w:rPr>
  </w:style>
  <w:style w:type="paragraph" w:customStyle="1" w:styleId="PH1">
    <w:name w:val="PH1"/>
    <w:basedOn w:val="PH"/>
    <w:rsid w:val="007E6737"/>
    <w:pPr>
      <w:spacing w:line="301" w:lineRule="exact"/>
    </w:pPr>
    <w:rPr>
      <w:sz w:val="19"/>
    </w:rPr>
  </w:style>
  <w:style w:type="paragraph" w:styleId="Header">
    <w:name w:val="header"/>
    <w:basedOn w:val="Normal"/>
    <w:link w:val="HeaderChar"/>
    <w:uiPriority w:val="99"/>
    <w:unhideWhenUsed/>
    <w:rsid w:val="007E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737"/>
    <w:rPr>
      <w:rFonts w:ascii="Arial" w:eastAsia="Calibri" w:hAnsi="Arial" w:cs="Times New Roman"/>
      <w:szCs w:val="20"/>
      <w:lang w:eastAsia="hr-HR"/>
    </w:rPr>
  </w:style>
  <w:style w:type="character" w:customStyle="1" w:styleId="Heading1Char">
    <w:name w:val="Heading 1 Char"/>
    <w:aliases w:val="h1 Char"/>
    <w:basedOn w:val="DefaultParagraphFont"/>
    <w:link w:val="Heading1"/>
    <w:rsid w:val="00D240C6"/>
    <w:rPr>
      <w:rFonts w:ascii="Times New Roman" w:eastAsia="Times New Roman" w:hAnsi="Times New Roman" w:cs="Times New Roman"/>
      <w:spacing w:val="-3"/>
      <w:szCs w:val="20"/>
      <w:u w:val="single"/>
      <w:lang w:val="en-GB"/>
    </w:rPr>
  </w:style>
  <w:style w:type="paragraph" w:customStyle="1" w:styleId="T1">
    <w:name w:val="T1"/>
    <w:basedOn w:val="Heading1"/>
    <w:link w:val="T1Char"/>
    <w:rsid w:val="00D240C6"/>
    <w:pPr>
      <w:tabs>
        <w:tab w:val="clear" w:pos="-720"/>
      </w:tabs>
      <w:suppressAutoHyphens w:val="0"/>
      <w:spacing w:before="240" w:after="120" w:line="360" w:lineRule="auto"/>
      <w:outlineLvl w:val="9"/>
    </w:pPr>
    <w:rPr>
      <w:rFonts w:ascii="Arial" w:hAnsi="Arial"/>
      <w:b/>
      <w:bCs/>
      <w:spacing w:val="0"/>
      <w:sz w:val="19"/>
      <w:u w:val="none"/>
      <w:lang w:val="pl-PL"/>
    </w:rPr>
  </w:style>
  <w:style w:type="paragraph" w:customStyle="1" w:styleId="T1PARAGRAPH">
    <w:name w:val="T1PARAGRAPH"/>
    <w:basedOn w:val="BodyText3"/>
    <w:rsid w:val="00D240C6"/>
    <w:pPr>
      <w:numPr>
        <w:numId w:val="1"/>
      </w:numPr>
      <w:spacing w:after="301" w:line="301" w:lineRule="atLeast"/>
      <w:jc w:val="both"/>
    </w:pPr>
    <w:rPr>
      <w:rFonts w:eastAsia="Times New Roman" w:cs="Arial"/>
      <w:sz w:val="19"/>
      <w:szCs w:val="20"/>
      <w:lang w:eastAsia="en-US"/>
    </w:rPr>
  </w:style>
  <w:style w:type="paragraph" w:customStyle="1" w:styleId="T1PARAGRAPH0">
    <w:name w:val="T1 PARAGRAPH"/>
    <w:basedOn w:val="T1"/>
    <w:next w:val="T1"/>
    <w:rsid w:val="00D240C6"/>
    <w:pPr>
      <w:spacing w:before="160" w:after="160" w:line="200" w:lineRule="exact"/>
      <w:ind w:left="547"/>
      <w:jc w:val="left"/>
    </w:pPr>
    <w:rPr>
      <w:b w:val="0"/>
      <w:bCs w:val="0"/>
      <w:lang w:val="hr-HR"/>
    </w:rPr>
  </w:style>
  <w:style w:type="character" w:customStyle="1" w:styleId="T1Char">
    <w:name w:val="T1 Char"/>
    <w:link w:val="T1"/>
    <w:rsid w:val="00D240C6"/>
    <w:rPr>
      <w:rFonts w:ascii="Arial" w:eastAsia="Times New Roman" w:hAnsi="Arial" w:cs="Times New Roman"/>
      <w:b/>
      <w:bCs/>
      <w:sz w:val="19"/>
      <w:szCs w:val="20"/>
      <w:lang w:val="pl-P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240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240C6"/>
    <w:rPr>
      <w:rFonts w:ascii="Arial" w:eastAsia="Calibri" w:hAnsi="Arial" w:cs="Times New Roman"/>
      <w:sz w:val="16"/>
      <w:szCs w:val="16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E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E49"/>
    <w:rPr>
      <w:rFonts w:ascii="Arial" w:eastAsia="Calibri" w:hAnsi="Arial" w:cs="Times New Roman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CCD"/>
    <w:rPr>
      <w:rFonts w:ascii="Tahoma" w:eastAsia="Calibri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2C6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311E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D7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59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597"/>
    <w:rPr>
      <w:rFonts w:ascii="Arial" w:eastAsia="Calibri" w:hAnsi="Arial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597"/>
    <w:rPr>
      <w:rFonts w:ascii="Arial" w:eastAsia="Calibri" w:hAnsi="Arial" w:cs="Times New Roman"/>
      <w:b/>
      <w:bCs/>
      <w:sz w:val="20"/>
      <w:szCs w:val="20"/>
      <w:lang w:eastAsia="hr-HR"/>
    </w:rPr>
  </w:style>
  <w:style w:type="character" w:customStyle="1" w:styleId="ListParagraphChar">
    <w:name w:val="List Paragraph Char"/>
    <w:link w:val="ListParagraph"/>
    <w:uiPriority w:val="34"/>
    <w:rsid w:val="007E02FA"/>
    <w:rPr>
      <w:rFonts w:ascii="Arial" w:eastAsia="Calibri" w:hAnsi="Arial" w:cs="Times New Roman"/>
      <w:szCs w:val="20"/>
      <w:lang w:eastAsia="hr-HR"/>
    </w:rPr>
  </w:style>
  <w:style w:type="paragraph" w:styleId="NoSpacing">
    <w:name w:val="No Spacing"/>
    <w:link w:val="NoSpacingChar"/>
    <w:uiPriority w:val="1"/>
    <w:qFormat/>
    <w:rsid w:val="00FD60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oSpacingChar">
    <w:name w:val="No Spacing Char"/>
    <w:link w:val="NoSpacing"/>
    <w:uiPriority w:val="1"/>
    <w:rsid w:val="00FD606A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ormalWeb">
    <w:name w:val="Normal (Web)"/>
    <w:basedOn w:val="Normal"/>
    <w:link w:val="NormalWebChar"/>
    <w:uiPriority w:val="99"/>
    <w:rsid w:val="00E33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WebChar">
    <w:name w:val="Normal (Web) Char"/>
    <w:basedOn w:val="DefaultParagraphFont"/>
    <w:link w:val="NormalWeb"/>
    <w:uiPriority w:val="99"/>
    <w:rsid w:val="00E3365F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688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688"/>
    <w:rPr>
      <w:rFonts w:ascii="Arial" w:eastAsia="Calibri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876688"/>
    <w:rPr>
      <w:vertAlign w:val="superscript"/>
    </w:rPr>
  </w:style>
  <w:style w:type="paragraph" w:styleId="Revision">
    <w:name w:val="Revision"/>
    <w:hidden/>
    <w:uiPriority w:val="99"/>
    <w:semiHidden/>
    <w:rsid w:val="003E3429"/>
    <w:pPr>
      <w:spacing w:after="0" w:line="240" w:lineRule="auto"/>
    </w:pPr>
    <w:rPr>
      <w:rFonts w:ascii="Arial" w:eastAsia="Calibri" w:hAnsi="Arial" w:cs="Times New Roman"/>
      <w:szCs w:val="20"/>
      <w:lang w:eastAsia="hr-HR"/>
    </w:rPr>
  </w:style>
  <w:style w:type="paragraph" w:customStyle="1" w:styleId="Default">
    <w:name w:val="Default"/>
    <w:rsid w:val="00A214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7598">
          <w:marLeft w:val="446"/>
          <w:marRight w:val="17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352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31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46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69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420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06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01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464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25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40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72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7349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17">
          <w:marLeft w:val="5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521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2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935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9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6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4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4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083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19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304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17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10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740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1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782D4-C321-4919-ABAD-351BE9EE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11</Pages>
  <Words>4296</Words>
  <Characters>24488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HBOR</Company>
  <LinksUpToDate>false</LinksUpToDate>
  <CharactersWithSpaces>28727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Tonković Ilka</dc:creator>
  <cp:keywords/>
  <dc:description/>
  <cp:lastModifiedBy>Milas Nikolina</cp:lastModifiedBy>
  <cp:revision>87</cp:revision>
  <cp:lastPrinted>2023-12-20T15:39:00Z</cp:lastPrinted>
  <dcterms:created xsi:type="dcterms:W3CDTF">2023-01-20T08:51:00Z</dcterms:created>
  <dcterms:modified xsi:type="dcterms:W3CDTF">2023-12-20T15:41:00Z</dcterms:modified>
</cp:coreProperties>
</file>